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A1" w:rsidRPr="00735048" w:rsidRDefault="00C354A1" w:rsidP="00C354A1">
      <w:pPr>
        <w:snapToGrid w:val="0"/>
        <w:spacing w:line="0" w:lineRule="atLeast"/>
        <w:ind w:left="801" w:hangingChars="200" w:hanging="801"/>
        <w:jc w:val="center"/>
        <w:rPr>
          <w:rFonts w:hint="eastAsia"/>
          <w:b/>
          <w:color w:val="000000"/>
          <w:sz w:val="40"/>
          <w:szCs w:val="40"/>
        </w:rPr>
      </w:pPr>
      <w:r w:rsidRPr="00735048">
        <w:rPr>
          <w:rFonts w:hint="eastAsia"/>
          <w:b/>
          <w:color w:val="000000"/>
          <w:sz w:val="40"/>
          <w:szCs w:val="40"/>
        </w:rPr>
        <w:t>教育奉獻獎選拔及表揚要點</w:t>
      </w:r>
    </w:p>
    <w:p w:rsidR="00C354A1" w:rsidRPr="00735048" w:rsidRDefault="00C354A1" w:rsidP="00C354A1">
      <w:pPr>
        <w:ind w:left="307" w:hangingChars="192" w:hanging="307"/>
        <w:jc w:val="both"/>
        <w:rPr>
          <w:rFonts w:hint="eastAsia"/>
          <w:color w:val="000000"/>
          <w:sz w:val="16"/>
          <w:szCs w:val="16"/>
        </w:rPr>
      </w:pPr>
    </w:p>
    <w:p w:rsidR="00C354A1" w:rsidRPr="00735048" w:rsidRDefault="00C354A1" w:rsidP="00C354A1">
      <w:pPr>
        <w:snapToGrid w:val="0"/>
        <w:spacing w:line="0" w:lineRule="atLeast"/>
        <w:ind w:left="400" w:hangingChars="200" w:hanging="400"/>
        <w:jc w:val="right"/>
        <w:rPr>
          <w:rFonts w:hint="eastAsia"/>
          <w:b/>
          <w:color w:val="000000"/>
          <w:sz w:val="28"/>
          <w:szCs w:val="28"/>
        </w:rPr>
      </w:pPr>
      <w:smartTag w:uri="urn:schemas-microsoft-com:office:smarttags" w:element="chsdate">
        <w:smartTagPr>
          <w:attr w:name="IsROCDate" w:val="True"/>
          <w:attr w:name="IsLunarDate" w:val="False"/>
          <w:attr w:name="Day" w:val="7"/>
          <w:attr w:name="Month" w:val="6"/>
          <w:attr w:name="Year" w:val="2006"/>
        </w:smartTagPr>
        <w:r w:rsidRPr="00735048">
          <w:rPr>
            <w:rFonts w:hint="eastAsia"/>
            <w:color w:val="000000"/>
            <w:sz w:val="20"/>
            <w:szCs w:val="20"/>
          </w:rPr>
          <w:t>中華民國95年6月7日</w:t>
        </w:r>
      </w:smartTag>
      <w:r w:rsidRPr="00735048">
        <w:rPr>
          <w:rFonts w:hint="eastAsia"/>
          <w:color w:val="000000"/>
          <w:sz w:val="20"/>
          <w:szCs w:val="20"/>
        </w:rPr>
        <w:t>台人（二）字第</w:t>
      </w:r>
      <w:smartTag w:uri="urn:schemas-microsoft-com:office:smarttags" w:element="chmetcnv">
        <w:smartTagPr>
          <w:attr w:name="TCSC" w:val="0"/>
          <w:attr w:name="NumberType" w:val="1"/>
          <w:attr w:name="Negative" w:val="False"/>
          <w:attr w:name="HasSpace" w:val="False"/>
          <w:attr w:name="SourceValue" w:val="950080446"/>
          <w:attr w:name="UnitName" w:val="C"/>
        </w:smartTagPr>
        <w:r w:rsidRPr="00735048">
          <w:rPr>
            <w:rFonts w:hint="eastAsia"/>
            <w:color w:val="000000"/>
            <w:sz w:val="20"/>
            <w:szCs w:val="20"/>
          </w:rPr>
          <w:t>0950080446C</w:t>
        </w:r>
      </w:smartTag>
      <w:r w:rsidRPr="00735048">
        <w:rPr>
          <w:rFonts w:hint="eastAsia"/>
          <w:color w:val="000000"/>
          <w:sz w:val="20"/>
          <w:szCs w:val="20"/>
        </w:rPr>
        <w:t>號令訂定</w:t>
      </w:r>
    </w:p>
    <w:p w:rsidR="00C354A1" w:rsidRDefault="00C354A1" w:rsidP="00C354A1">
      <w:pPr>
        <w:snapToGrid w:val="0"/>
        <w:spacing w:line="0" w:lineRule="atLeast"/>
        <w:ind w:left="400" w:hangingChars="200" w:hanging="400"/>
        <w:jc w:val="right"/>
        <w:rPr>
          <w:rFonts w:hint="eastAsia"/>
          <w:color w:val="000000"/>
          <w:sz w:val="20"/>
          <w:szCs w:val="20"/>
        </w:rPr>
      </w:pPr>
      <w:r w:rsidRPr="00735048">
        <w:rPr>
          <w:rFonts w:hint="eastAsia"/>
          <w:color w:val="000000"/>
          <w:sz w:val="20"/>
          <w:szCs w:val="20"/>
        </w:rPr>
        <w:t>中華民國96年2月5日台人（二）字第</w:t>
      </w:r>
      <w:smartTag w:uri="urn:schemas-microsoft-com:office:smarttags" w:element="chmetcnv">
        <w:smartTagPr>
          <w:attr w:name="TCSC" w:val="0"/>
          <w:attr w:name="NumberType" w:val="1"/>
          <w:attr w:name="Negative" w:val="False"/>
          <w:attr w:name="HasSpace" w:val="False"/>
          <w:attr w:name="SourceValue" w:val="960014243"/>
          <w:attr w:name="UnitName" w:val="C"/>
        </w:smartTagPr>
        <w:r w:rsidRPr="00735048">
          <w:rPr>
            <w:rFonts w:hint="eastAsia"/>
            <w:color w:val="000000"/>
            <w:sz w:val="20"/>
            <w:szCs w:val="20"/>
          </w:rPr>
          <w:t>0960014243C</w:t>
        </w:r>
      </w:smartTag>
      <w:r w:rsidRPr="00735048">
        <w:rPr>
          <w:rFonts w:hint="eastAsia"/>
          <w:color w:val="000000"/>
          <w:sz w:val="20"/>
          <w:szCs w:val="20"/>
        </w:rPr>
        <w:t>號令</w:t>
      </w:r>
      <w:r>
        <w:rPr>
          <w:rFonts w:hint="eastAsia"/>
          <w:color w:val="000000"/>
          <w:sz w:val="20"/>
          <w:szCs w:val="20"/>
        </w:rPr>
        <w:t>修正</w:t>
      </w:r>
    </w:p>
    <w:p w:rsidR="00C354A1" w:rsidRPr="00104AB9" w:rsidRDefault="00C354A1" w:rsidP="00C354A1">
      <w:pPr>
        <w:snapToGrid w:val="0"/>
        <w:spacing w:line="0" w:lineRule="atLeast"/>
        <w:ind w:left="400" w:hangingChars="200" w:hanging="400"/>
        <w:jc w:val="right"/>
        <w:rPr>
          <w:rFonts w:hint="eastAsia"/>
          <w:sz w:val="20"/>
          <w:szCs w:val="20"/>
        </w:rPr>
      </w:pPr>
      <w:r w:rsidRPr="00104AB9">
        <w:rPr>
          <w:rFonts w:hint="eastAsia"/>
          <w:sz w:val="20"/>
          <w:szCs w:val="20"/>
        </w:rPr>
        <w:t>中華民國100年</w:t>
      </w:r>
      <w:r w:rsidR="00C302AC" w:rsidRPr="00104AB9">
        <w:rPr>
          <w:rFonts w:hint="eastAsia"/>
          <w:sz w:val="20"/>
          <w:szCs w:val="20"/>
        </w:rPr>
        <w:t>3</w:t>
      </w:r>
      <w:r w:rsidR="002B7513" w:rsidRPr="00104AB9">
        <w:rPr>
          <w:rFonts w:hint="eastAsia"/>
          <w:sz w:val="20"/>
          <w:szCs w:val="20"/>
        </w:rPr>
        <w:t>月</w:t>
      </w:r>
      <w:r w:rsidR="00C302AC" w:rsidRPr="00104AB9">
        <w:rPr>
          <w:rFonts w:hint="eastAsia"/>
          <w:sz w:val="20"/>
          <w:szCs w:val="20"/>
        </w:rPr>
        <w:t>1</w:t>
      </w:r>
      <w:r w:rsidRPr="00104AB9">
        <w:rPr>
          <w:rFonts w:hint="eastAsia"/>
          <w:sz w:val="20"/>
          <w:szCs w:val="20"/>
        </w:rPr>
        <w:t>日臺人（二）字第</w:t>
      </w:r>
      <w:smartTag w:uri="urn:schemas-microsoft-com:office:smarttags" w:element="chmetcnv">
        <w:smartTagPr>
          <w:attr w:name="UnitName" w:val="C"/>
          <w:attr w:name="SourceValue" w:val="1000026115"/>
          <w:attr w:name="HasSpace" w:val="False"/>
          <w:attr w:name="Negative" w:val="False"/>
          <w:attr w:name="NumberType" w:val="1"/>
          <w:attr w:name="TCSC" w:val="0"/>
        </w:smartTagPr>
        <w:r w:rsidRPr="00104AB9">
          <w:rPr>
            <w:sz w:val="20"/>
            <w:szCs w:val="20"/>
          </w:rPr>
          <w:t>1000026115C</w:t>
        </w:r>
      </w:smartTag>
      <w:r w:rsidRPr="00104AB9">
        <w:rPr>
          <w:rFonts w:hint="eastAsia"/>
          <w:sz w:val="20"/>
          <w:szCs w:val="20"/>
        </w:rPr>
        <w:t>C號令修正</w:t>
      </w:r>
    </w:p>
    <w:p w:rsidR="00104AB9" w:rsidRPr="00104AB9" w:rsidRDefault="00104AB9" w:rsidP="00104AB9">
      <w:pPr>
        <w:wordWrap w:val="0"/>
        <w:snapToGrid w:val="0"/>
        <w:spacing w:line="0" w:lineRule="atLeast"/>
        <w:ind w:left="400" w:hangingChars="200" w:hanging="400"/>
        <w:jc w:val="right"/>
        <w:rPr>
          <w:rFonts w:hint="eastAsia"/>
          <w:b/>
          <w:sz w:val="28"/>
          <w:szCs w:val="28"/>
        </w:rPr>
      </w:pPr>
      <w:r w:rsidRPr="00104AB9">
        <w:rPr>
          <w:rFonts w:hint="eastAsia"/>
          <w:sz w:val="20"/>
          <w:szCs w:val="20"/>
        </w:rPr>
        <w:t>中華民國101年2月20日臺人（二）字第</w:t>
      </w:r>
      <w:smartTag w:uri="urn:schemas-microsoft-com:office:smarttags" w:element="chmetcnv">
        <w:smartTagPr>
          <w:attr w:name="UnitName" w:val="C"/>
          <w:attr w:name="SourceValue" w:val="1010012390"/>
          <w:attr w:name="HasSpace" w:val="False"/>
          <w:attr w:name="Negative" w:val="False"/>
          <w:attr w:name="NumberType" w:val="1"/>
          <w:attr w:name="TCSC" w:val="0"/>
        </w:smartTagPr>
        <w:r w:rsidRPr="00104AB9">
          <w:rPr>
            <w:rFonts w:hint="eastAsia"/>
            <w:sz w:val="20"/>
            <w:szCs w:val="20"/>
          </w:rPr>
          <w:t>1010012390C</w:t>
        </w:r>
      </w:smartTag>
      <w:r w:rsidRPr="00104AB9">
        <w:rPr>
          <w:rFonts w:hint="eastAsia"/>
          <w:sz w:val="20"/>
          <w:szCs w:val="20"/>
        </w:rPr>
        <w:t>號令修正</w:t>
      </w:r>
    </w:p>
    <w:p w:rsidR="00C354A1" w:rsidRPr="00735048" w:rsidRDefault="00C354A1" w:rsidP="00C354A1">
      <w:pPr>
        <w:ind w:left="307" w:hangingChars="192" w:hanging="307"/>
        <w:jc w:val="both"/>
        <w:rPr>
          <w:rFonts w:hint="eastAsia"/>
          <w:color w:val="000000"/>
          <w:sz w:val="16"/>
          <w:szCs w:val="16"/>
        </w:rPr>
      </w:pPr>
    </w:p>
    <w:p w:rsidR="00C354A1" w:rsidRPr="00735048" w:rsidRDefault="00C354A1" w:rsidP="00C354A1">
      <w:pPr>
        <w:spacing w:beforeLines="50" w:afterLines="50" w:line="0" w:lineRule="atLeast"/>
        <w:ind w:left="538" w:hangingChars="192" w:hanging="538"/>
        <w:jc w:val="both"/>
        <w:rPr>
          <w:rFonts w:hint="eastAsia"/>
          <w:color w:val="000000"/>
          <w:sz w:val="28"/>
          <w:szCs w:val="28"/>
        </w:rPr>
      </w:pPr>
      <w:r w:rsidRPr="00735048">
        <w:rPr>
          <w:rFonts w:hint="eastAsia"/>
          <w:color w:val="000000"/>
          <w:sz w:val="28"/>
          <w:szCs w:val="28"/>
        </w:rPr>
        <w:t>一、教育部（以下簡稱本部）為鼓勵校長及教師退休或離職後，仍從事教育或學生輔導之志願服務相關工作，奉獻教育，樹立教育人員退而不休之典範，特訂定本要點。</w:t>
      </w:r>
    </w:p>
    <w:p w:rsidR="00C354A1" w:rsidRPr="00735048" w:rsidRDefault="00C354A1" w:rsidP="00C354A1">
      <w:pPr>
        <w:spacing w:beforeLines="50" w:afterLines="50" w:line="0" w:lineRule="atLeast"/>
        <w:ind w:left="538" w:hangingChars="192" w:hanging="538"/>
        <w:jc w:val="both"/>
        <w:rPr>
          <w:rFonts w:hint="eastAsia"/>
          <w:color w:val="000000"/>
          <w:sz w:val="28"/>
          <w:szCs w:val="28"/>
        </w:rPr>
      </w:pPr>
      <w:r w:rsidRPr="00735048">
        <w:rPr>
          <w:rFonts w:hint="eastAsia"/>
          <w:color w:val="000000"/>
          <w:sz w:val="28"/>
          <w:szCs w:val="28"/>
        </w:rPr>
        <w:t>二、本要點以公私立學校已退休或離職之非現職校長、教師及軍訓教官為選拔表揚對象。</w:t>
      </w:r>
    </w:p>
    <w:p w:rsidR="00C354A1" w:rsidRPr="00735048" w:rsidRDefault="00C354A1" w:rsidP="00C354A1">
      <w:pPr>
        <w:spacing w:beforeLines="50" w:afterLines="50" w:line="0" w:lineRule="atLeast"/>
        <w:ind w:left="538" w:hangingChars="192" w:hanging="538"/>
        <w:jc w:val="both"/>
        <w:rPr>
          <w:color w:val="000000"/>
          <w:sz w:val="28"/>
          <w:szCs w:val="28"/>
        </w:rPr>
      </w:pPr>
      <w:r w:rsidRPr="00735048">
        <w:rPr>
          <w:rFonts w:hint="eastAsia"/>
          <w:color w:val="000000"/>
          <w:sz w:val="28"/>
          <w:szCs w:val="28"/>
        </w:rPr>
        <w:t>三、教育奉獻獎之推薦條件，應具有下列事蹟之一：</w:t>
      </w:r>
    </w:p>
    <w:p w:rsidR="00C354A1" w:rsidRPr="00735048" w:rsidRDefault="00C354A1" w:rsidP="00C354A1">
      <w:pPr>
        <w:spacing w:beforeLines="50" w:afterLines="50" w:line="0" w:lineRule="atLeast"/>
        <w:ind w:leftChars="69" w:left="1073" w:hangingChars="255" w:hanging="714"/>
        <w:rPr>
          <w:rFonts w:hint="eastAsia"/>
          <w:color w:val="000000"/>
          <w:sz w:val="28"/>
          <w:szCs w:val="28"/>
        </w:rPr>
      </w:pPr>
      <w:r w:rsidRPr="00735048">
        <w:rPr>
          <w:rFonts w:hint="eastAsia"/>
          <w:color w:val="000000"/>
          <w:sz w:val="28"/>
          <w:szCs w:val="28"/>
        </w:rPr>
        <w:t>（一）投入教育之志願服務相關工作，著有具體績效，足為典範。</w:t>
      </w:r>
    </w:p>
    <w:p w:rsidR="00C354A1" w:rsidRPr="00735048" w:rsidRDefault="00C354A1" w:rsidP="00C354A1">
      <w:pPr>
        <w:spacing w:beforeLines="50" w:afterLines="50" w:line="0" w:lineRule="atLeast"/>
        <w:ind w:leftChars="69" w:left="1073" w:hangingChars="255" w:hanging="714"/>
        <w:rPr>
          <w:rFonts w:hint="eastAsia"/>
          <w:color w:val="000000"/>
          <w:sz w:val="28"/>
          <w:szCs w:val="28"/>
        </w:rPr>
      </w:pPr>
      <w:r w:rsidRPr="00735048">
        <w:rPr>
          <w:rFonts w:hint="eastAsia"/>
          <w:color w:val="000000"/>
          <w:sz w:val="28"/>
          <w:szCs w:val="28"/>
        </w:rPr>
        <w:t>（二）投入學生輔導之志願服務相關工作，著有具體績效，足為典範。</w:t>
      </w:r>
    </w:p>
    <w:p w:rsidR="00C354A1" w:rsidRPr="00735048" w:rsidRDefault="00C354A1" w:rsidP="00C354A1">
      <w:pPr>
        <w:spacing w:beforeLines="50" w:afterLines="50" w:line="0" w:lineRule="atLeast"/>
        <w:rPr>
          <w:rFonts w:hint="eastAsia"/>
          <w:color w:val="000000"/>
          <w:sz w:val="28"/>
          <w:szCs w:val="28"/>
        </w:rPr>
      </w:pPr>
      <w:r w:rsidRPr="00735048">
        <w:rPr>
          <w:rFonts w:hint="eastAsia"/>
          <w:color w:val="000000"/>
          <w:sz w:val="28"/>
          <w:szCs w:val="28"/>
        </w:rPr>
        <w:t>四、推薦及選拔方式：</w:t>
      </w:r>
    </w:p>
    <w:p w:rsidR="00C354A1" w:rsidRPr="00735048" w:rsidRDefault="00C354A1" w:rsidP="00C354A1">
      <w:pPr>
        <w:spacing w:beforeLines="50" w:afterLines="50" w:line="0" w:lineRule="atLeast"/>
        <w:ind w:leftChars="69" w:left="359"/>
        <w:rPr>
          <w:rFonts w:hint="eastAsia"/>
          <w:color w:val="000000"/>
          <w:sz w:val="28"/>
          <w:szCs w:val="28"/>
        </w:rPr>
      </w:pPr>
      <w:r w:rsidRPr="00735048">
        <w:rPr>
          <w:rFonts w:hint="eastAsia"/>
          <w:color w:val="000000"/>
          <w:sz w:val="28"/>
          <w:szCs w:val="28"/>
        </w:rPr>
        <w:t>（一）初審：</w:t>
      </w:r>
    </w:p>
    <w:p w:rsidR="00C354A1" w:rsidRPr="00735048" w:rsidRDefault="00C354A1" w:rsidP="00C354A1">
      <w:pPr>
        <w:spacing w:beforeLines="50" w:afterLines="50" w:line="0" w:lineRule="atLeast"/>
        <w:ind w:leftChars="173" w:left="1258" w:hangingChars="128" w:hanging="358"/>
        <w:jc w:val="both"/>
        <w:rPr>
          <w:rFonts w:hint="eastAsia"/>
          <w:color w:val="000000"/>
          <w:sz w:val="28"/>
          <w:szCs w:val="28"/>
        </w:rPr>
      </w:pPr>
      <w:r w:rsidRPr="00735048">
        <w:rPr>
          <w:rFonts w:hint="eastAsia"/>
          <w:color w:val="000000"/>
          <w:sz w:val="28"/>
          <w:szCs w:val="28"/>
        </w:rPr>
        <w:t>1.各機關學校及經許可設立之民間團體組織或基金會，於每年二月一日至三月三十一日前，向所在地之直轄市、縣（市）政府提出推薦。</w:t>
      </w:r>
    </w:p>
    <w:p w:rsidR="00C354A1" w:rsidRDefault="00C354A1" w:rsidP="00C354A1">
      <w:pPr>
        <w:spacing w:beforeLines="50" w:afterLines="50" w:line="0" w:lineRule="atLeast"/>
        <w:ind w:leftChars="173" w:left="1258" w:hangingChars="128" w:hanging="358"/>
        <w:jc w:val="both"/>
        <w:rPr>
          <w:rFonts w:hint="eastAsia"/>
          <w:color w:val="000000"/>
          <w:sz w:val="28"/>
          <w:szCs w:val="28"/>
        </w:rPr>
      </w:pPr>
      <w:r w:rsidRPr="00735048">
        <w:rPr>
          <w:rFonts w:hint="eastAsia"/>
          <w:color w:val="000000"/>
          <w:sz w:val="28"/>
          <w:szCs w:val="28"/>
        </w:rPr>
        <w:t>2.直轄市、縣（市）政府於受理推薦後，應組成初審評選工作小組辦理初審作業，並於每年五月三十一日前，依下列表格所列接受推薦名額，報本部辦理複審：</w:t>
      </w:r>
    </w:p>
    <w:tbl>
      <w:tblPr>
        <w:tblW w:w="0" w:type="auto"/>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2"/>
        <w:gridCol w:w="2844"/>
        <w:gridCol w:w="2103"/>
      </w:tblGrid>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napToGrid w:val="0"/>
              <w:jc w:val="center"/>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級別</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napToGrid w:val="0"/>
              <w:jc w:val="center"/>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包含縣市</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napToGrid w:val="0"/>
              <w:jc w:val="center"/>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接受推薦名額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color w:val="000000"/>
                <w:sz w:val="28"/>
                <w:szCs w:val="28"/>
              </w:rPr>
            </w:pPr>
            <w:r w:rsidRPr="009350FC">
              <w:rPr>
                <w:rFonts w:hint="eastAsia"/>
                <w:color w:val="000000"/>
                <w:sz w:val="28"/>
                <w:szCs w:val="28"/>
              </w:rPr>
              <w:t>一級</w:t>
            </w:r>
          </w:p>
          <w:p w:rsidR="00C354A1" w:rsidRPr="009350FC" w:rsidRDefault="00C354A1" w:rsidP="009350FC">
            <w:pPr>
              <w:spacing w:line="0" w:lineRule="atLeast"/>
              <w:rPr>
                <w:color w:val="000000"/>
                <w:sz w:val="28"/>
                <w:szCs w:val="28"/>
              </w:rPr>
            </w:pPr>
            <w:r w:rsidRPr="009350FC">
              <w:rPr>
                <w:rFonts w:hint="eastAsia"/>
                <w:color w:val="000000"/>
                <w:sz w:val="28"/>
                <w:szCs w:val="28"/>
              </w:rPr>
              <w:t>（人口數在二百萬人以上或學校數達五百五十所以上）</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color w:val="000000"/>
                <w:sz w:val="28"/>
                <w:szCs w:val="28"/>
              </w:rPr>
            </w:pPr>
            <w:r w:rsidRPr="009350FC">
              <w:rPr>
                <w:rFonts w:hint="eastAsia"/>
                <w:color w:val="000000"/>
                <w:sz w:val="28"/>
                <w:szCs w:val="28"/>
              </w:rPr>
              <w:t>新北市、臺北市、臺中市、高雄市、桃園縣</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104AB9" w:rsidP="009350FC">
            <w:pPr>
              <w:spacing w:line="0" w:lineRule="atLeast"/>
              <w:jc w:val="center"/>
              <w:rPr>
                <w:color w:val="000000"/>
                <w:sz w:val="28"/>
                <w:szCs w:val="28"/>
              </w:rPr>
            </w:pPr>
            <w:r w:rsidRPr="009350FC">
              <w:rPr>
                <w:rFonts w:hint="eastAsia"/>
                <w:color w:val="000000"/>
                <w:sz w:val="28"/>
                <w:szCs w:val="28"/>
              </w:rPr>
              <w:t>五</w:t>
            </w:r>
            <w:r w:rsidR="00C354A1" w:rsidRPr="009350FC">
              <w:rPr>
                <w:rFonts w:hint="eastAsia"/>
                <w:color w:val="000000"/>
                <w:sz w:val="28"/>
                <w:szCs w:val="28"/>
              </w:rPr>
              <w:t>名</w:t>
            </w:r>
            <w:r w:rsidRPr="009350FC">
              <w:rPr>
                <w:rFonts w:hint="eastAsia"/>
                <w:color w:val="000000"/>
                <w:sz w:val="28"/>
                <w:szCs w:val="28"/>
              </w:rPr>
              <w:t>或六</w:t>
            </w:r>
            <w:r w:rsidR="00C354A1" w:rsidRPr="009350FC">
              <w:rPr>
                <w:rFonts w:hint="eastAsia"/>
                <w:color w:val="000000"/>
                <w:sz w:val="28"/>
                <w:szCs w:val="28"/>
              </w:rPr>
              <w:t>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color w:val="000000"/>
                <w:sz w:val="28"/>
                <w:szCs w:val="28"/>
              </w:rPr>
            </w:pPr>
            <w:r w:rsidRPr="009350FC">
              <w:rPr>
                <w:rFonts w:hint="eastAsia"/>
                <w:color w:val="000000"/>
                <w:sz w:val="28"/>
                <w:szCs w:val="28"/>
              </w:rPr>
              <w:t>二級</w:t>
            </w:r>
          </w:p>
          <w:p w:rsidR="00C354A1" w:rsidRPr="009350FC" w:rsidRDefault="00C354A1" w:rsidP="009350FC">
            <w:pPr>
              <w:spacing w:line="0" w:lineRule="atLeast"/>
              <w:rPr>
                <w:color w:val="000000"/>
                <w:sz w:val="28"/>
                <w:szCs w:val="28"/>
              </w:rPr>
            </w:pPr>
            <w:r w:rsidRPr="009350FC">
              <w:rPr>
                <w:rFonts w:hint="eastAsia"/>
                <w:color w:val="000000"/>
                <w:sz w:val="28"/>
                <w:szCs w:val="28"/>
              </w:rPr>
              <w:t>（人口數在一百萬人以上未滿二百萬人或學校數在四百所以上未滿五百五十所）</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color w:val="000000"/>
                <w:sz w:val="28"/>
                <w:szCs w:val="28"/>
              </w:rPr>
            </w:pPr>
            <w:r w:rsidRPr="009350FC">
              <w:rPr>
                <w:rFonts w:hint="eastAsia"/>
                <w:color w:val="000000"/>
                <w:sz w:val="28"/>
                <w:szCs w:val="28"/>
              </w:rPr>
              <w:t>臺南市、彰化縣、屏東縣</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104AB9" w:rsidP="009350FC">
            <w:pPr>
              <w:spacing w:line="0" w:lineRule="atLeast"/>
              <w:jc w:val="center"/>
              <w:rPr>
                <w:color w:val="000000"/>
                <w:sz w:val="28"/>
                <w:szCs w:val="28"/>
              </w:rPr>
            </w:pPr>
            <w:r w:rsidRPr="009350FC">
              <w:rPr>
                <w:rFonts w:hint="eastAsia"/>
                <w:color w:val="000000"/>
                <w:sz w:val="28"/>
                <w:szCs w:val="28"/>
              </w:rPr>
              <w:t>四</w:t>
            </w:r>
            <w:r w:rsidR="00C354A1" w:rsidRPr="009350FC">
              <w:rPr>
                <w:rFonts w:hint="eastAsia"/>
                <w:color w:val="000000"/>
                <w:sz w:val="28"/>
                <w:szCs w:val="28"/>
              </w:rPr>
              <w:t>名</w:t>
            </w:r>
            <w:r w:rsidRPr="009350FC">
              <w:rPr>
                <w:rFonts w:hint="eastAsia"/>
                <w:color w:val="000000"/>
                <w:sz w:val="28"/>
                <w:szCs w:val="28"/>
              </w:rPr>
              <w:t>或五</w:t>
            </w:r>
            <w:r w:rsidR="00C354A1" w:rsidRPr="009350FC">
              <w:rPr>
                <w:rFonts w:hint="eastAsia"/>
                <w:color w:val="000000"/>
                <w:sz w:val="28"/>
                <w:szCs w:val="28"/>
              </w:rPr>
              <w:t>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三級</w:t>
            </w:r>
          </w:p>
          <w:p w:rsidR="00C354A1" w:rsidRPr="009350FC" w:rsidRDefault="00C354A1" w:rsidP="009350FC">
            <w:pPr>
              <w:spacing w:line="0" w:lineRule="atLeast"/>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lastRenderedPageBreak/>
              <w:t>（人口數在五十萬人以上未滿一百萬人或學校數在二百五十所以上未滿四百所）</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lastRenderedPageBreak/>
              <w:t>苗栗縣、南投縣、雲</w:t>
            </w:r>
            <w:r w:rsidRPr="009350FC">
              <w:rPr>
                <w:rFonts w:ascii="Arial Unicode MS" w:hAnsi="Arial Unicode MS" w:cs="Arial Unicode MS" w:hint="eastAsia"/>
                <w:kern w:val="0"/>
                <w:sz w:val="28"/>
                <w:szCs w:val="28"/>
              </w:rPr>
              <w:lastRenderedPageBreak/>
              <w:t>林縣、嘉義縣、花蓮縣</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104AB9" w:rsidP="009350FC">
            <w:pPr>
              <w:spacing w:line="0" w:lineRule="atLeast"/>
              <w:jc w:val="center"/>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lastRenderedPageBreak/>
              <w:t>三</w:t>
            </w:r>
            <w:r w:rsidR="00C354A1" w:rsidRPr="009350FC">
              <w:rPr>
                <w:rFonts w:ascii="Arial Unicode MS" w:hAnsi="Arial Unicode MS" w:cs="Arial Unicode MS" w:hint="eastAsia"/>
                <w:kern w:val="0"/>
                <w:sz w:val="28"/>
                <w:szCs w:val="28"/>
              </w:rPr>
              <w:t>名</w:t>
            </w:r>
            <w:r w:rsidRPr="009350FC">
              <w:rPr>
                <w:rFonts w:ascii="Arial Unicode MS" w:hAnsi="Arial Unicode MS" w:cs="Arial Unicode MS" w:hint="eastAsia"/>
                <w:kern w:val="0"/>
                <w:sz w:val="28"/>
                <w:szCs w:val="28"/>
              </w:rPr>
              <w:t>或四</w:t>
            </w:r>
            <w:r w:rsidR="00C354A1" w:rsidRPr="009350FC">
              <w:rPr>
                <w:rFonts w:ascii="Arial Unicode MS" w:hAnsi="Arial Unicode MS" w:cs="Arial Unicode MS" w:hint="eastAsia"/>
                <w:kern w:val="0"/>
                <w:sz w:val="28"/>
                <w:szCs w:val="28"/>
              </w:rPr>
              <w:t>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lastRenderedPageBreak/>
              <w:t>四級</w:t>
            </w:r>
          </w:p>
          <w:p w:rsidR="00C354A1" w:rsidRPr="009350FC" w:rsidRDefault="00C354A1" w:rsidP="009350FC">
            <w:pPr>
              <w:spacing w:line="0" w:lineRule="atLeast"/>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t>（人口數在十萬人以上未滿五十萬人或學校數在一百所以上未滿二百五十所）</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t>宜蘭縣、新竹縣、臺東縣、基隆市、新竹市、嘉義市</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jc w:val="center"/>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t>二名</w:t>
            </w:r>
            <w:r w:rsidR="00104AB9" w:rsidRPr="009350FC">
              <w:rPr>
                <w:rFonts w:ascii="Arial Unicode MS" w:hAnsi="Arial Unicode MS" w:cs="Arial Unicode MS" w:hint="eastAsia"/>
                <w:kern w:val="0"/>
                <w:sz w:val="28"/>
                <w:szCs w:val="28"/>
              </w:rPr>
              <w:t>或三</w:t>
            </w:r>
            <w:r w:rsidRPr="009350FC">
              <w:rPr>
                <w:rFonts w:ascii="Arial Unicode MS" w:hAnsi="Arial Unicode MS" w:cs="Arial Unicode MS" w:hint="eastAsia"/>
                <w:kern w:val="0"/>
                <w:sz w:val="28"/>
                <w:szCs w:val="28"/>
              </w:rPr>
              <w:t>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五級</w:t>
            </w:r>
          </w:p>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（人口數未滿十萬人或學校數未滿一百所）</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澎湖縣、金門縣、連江縣</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104AB9" w:rsidP="009350FC">
            <w:pPr>
              <w:spacing w:line="0" w:lineRule="atLeast"/>
              <w:jc w:val="center"/>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一名或</w:t>
            </w:r>
            <w:r w:rsidR="00C354A1" w:rsidRPr="009350FC">
              <w:rPr>
                <w:rFonts w:ascii="Arial Unicode MS" w:hAnsi="Arial Unicode MS" w:cs="Arial Unicode MS" w:hint="eastAsia"/>
                <w:kern w:val="0"/>
                <w:sz w:val="28"/>
                <w:szCs w:val="28"/>
              </w:rPr>
              <w:t>二名</w:t>
            </w:r>
          </w:p>
        </w:tc>
      </w:tr>
    </w:tbl>
    <w:p w:rsidR="00C354A1" w:rsidRPr="00735048" w:rsidRDefault="00C354A1" w:rsidP="00C354A1">
      <w:pPr>
        <w:spacing w:beforeLines="50" w:afterLines="50" w:line="0" w:lineRule="atLeast"/>
        <w:ind w:leftChars="173" w:left="1258" w:hangingChars="128" w:hanging="358"/>
        <w:jc w:val="both"/>
        <w:rPr>
          <w:rFonts w:hint="eastAsia"/>
          <w:color w:val="000000"/>
          <w:sz w:val="28"/>
          <w:szCs w:val="28"/>
        </w:rPr>
      </w:pPr>
    </w:p>
    <w:p w:rsidR="00C354A1" w:rsidRPr="00735048" w:rsidRDefault="00C354A1" w:rsidP="00C354A1">
      <w:pPr>
        <w:spacing w:beforeLines="50" w:afterLines="50" w:line="0" w:lineRule="atLeast"/>
        <w:ind w:leftChars="69" w:left="1261" w:hangingChars="322" w:hanging="902"/>
        <w:rPr>
          <w:rFonts w:hint="eastAsia"/>
          <w:color w:val="000000"/>
          <w:sz w:val="28"/>
          <w:szCs w:val="28"/>
        </w:rPr>
      </w:pPr>
      <w:r w:rsidRPr="00735048">
        <w:rPr>
          <w:rFonts w:hint="eastAsia"/>
          <w:color w:val="000000"/>
          <w:sz w:val="28"/>
          <w:szCs w:val="28"/>
        </w:rPr>
        <w:t>（二）複審：由本部邀集專家學者及社會公正人士組成評審小組，於每年七月三十一日前完成複審。本部得委託機關學校或專業機構辦理評選；必要時得進行面談或實地訪視。</w:t>
      </w:r>
    </w:p>
    <w:p w:rsidR="00C354A1" w:rsidRPr="00735048" w:rsidRDefault="00C354A1" w:rsidP="00C354A1">
      <w:pPr>
        <w:spacing w:beforeLines="50" w:afterLines="50" w:line="0" w:lineRule="atLeast"/>
        <w:ind w:left="538" w:hangingChars="192" w:hanging="538"/>
        <w:rPr>
          <w:rFonts w:hint="eastAsia"/>
          <w:color w:val="000000"/>
          <w:sz w:val="28"/>
          <w:szCs w:val="28"/>
        </w:rPr>
      </w:pPr>
      <w:r w:rsidRPr="00735048">
        <w:rPr>
          <w:rFonts w:hint="eastAsia"/>
          <w:color w:val="000000"/>
          <w:sz w:val="28"/>
          <w:szCs w:val="28"/>
        </w:rPr>
        <w:t>五、教育奉獻獎之獲獎表揚人數，每年以不超過</w:t>
      </w:r>
      <w:r w:rsidR="00104AB9">
        <w:rPr>
          <w:rFonts w:hint="eastAsia"/>
          <w:color w:val="000000"/>
          <w:sz w:val="28"/>
          <w:szCs w:val="28"/>
        </w:rPr>
        <w:t>二</w:t>
      </w:r>
      <w:r w:rsidRPr="00735048">
        <w:rPr>
          <w:rFonts w:hint="eastAsia"/>
          <w:color w:val="000000"/>
          <w:sz w:val="28"/>
          <w:szCs w:val="28"/>
        </w:rPr>
        <w:t>十人為原則。</w:t>
      </w:r>
    </w:p>
    <w:p w:rsidR="00C354A1" w:rsidRPr="00735048" w:rsidRDefault="00C354A1" w:rsidP="00C354A1">
      <w:pPr>
        <w:spacing w:beforeLines="50" w:afterLines="50" w:line="0" w:lineRule="atLeast"/>
        <w:ind w:left="538" w:hangingChars="192" w:hanging="538"/>
        <w:rPr>
          <w:rFonts w:hint="eastAsia"/>
          <w:color w:val="000000"/>
          <w:sz w:val="28"/>
          <w:szCs w:val="28"/>
        </w:rPr>
      </w:pPr>
      <w:r w:rsidRPr="00735048">
        <w:rPr>
          <w:rFonts w:hint="eastAsia"/>
          <w:color w:val="000000"/>
          <w:sz w:val="28"/>
          <w:szCs w:val="28"/>
        </w:rPr>
        <w:t>六、最近三年內曾獲本要點或本部其他相關規定獎勵者，不再受理推薦或給獎。</w:t>
      </w:r>
    </w:p>
    <w:p w:rsidR="00C354A1" w:rsidRDefault="00C354A1" w:rsidP="00C354A1">
      <w:pPr>
        <w:spacing w:beforeLines="50" w:afterLines="50" w:line="0" w:lineRule="atLeast"/>
        <w:ind w:left="538" w:hangingChars="192" w:hanging="538"/>
        <w:rPr>
          <w:rFonts w:hint="eastAsia"/>
          <w:color w:val="000000"/>
          <w:sz w:val="28"/>
          <w:szCs w:val="28"/>
        </w:rPr>
      </w:pPr>
      <w:r w:rsidRPr="00735048">
        <w:rPr>
          <w:rFonts w:hint="eastAsia"/>
          <w:color w:val="000000"/>
          <w:sz w:val="28"/>
          <w:szCs w:val="28"/>
        </w:rPr>
        <w:t>七、教育奉獻獎之獲獎者於接受表揚前亡故時，得追頒之，並得由代表受獎。</w:t>
      </w:r>
    </w:p>
    <w:p w:rsidR="00104AB9" w:rsidRPr="00735048" w:rsidRDefault="00104AB9" w:rsidP="00C354A1">
      <w:pPr>
        <w:spacing w:beforeLines="50" w:afterLines="50" w:line="0" w:lineRule="atLeast"/>
        <w:ind w:left="538" w:hangingChars="192" w:hanging="538"/>
        <w:rPr>
          <w:rFonts w:hint="eastAsia"/>
          <w:color w:val="000000"/>
          <w:sz w:val="28"/>
          <w:szCs w:val="28"/>
        </w:rPr>
      </w:pPr>
      <w:r>
        <w:rPr>
          <w:rFonts w:hint="eastAsia"/>
          <w:color w:val="000000"/>
          <w:sz w:val="28"/>
          <w:szCs w:val="28"/>
        </w:rPr>
        <w:t>七之一、經遴薦獲獎人員，如有不實或舛錯者，應撤銷其資格，並追繳獎勵金及相關獎勵。</w:t>
      </w:r>
    </w:p>
    <w:p w:rsidR="00B37FA1" w:rsidRDefault="00C354A1" w:rsidP="00C354A1">
      <w:pPr>
        <w:ind w:left="538" w:hangingChars="192" w:hanging="538"/>
      </w:pPr>
      <w:r w:rsidRPr="00735048">
        <w:rPr>
          <w:rFonts w:hint="eastAsia"/>
          <w:color w:val="000000"/>
          <w:sz w:val="28"/>
          <w:szCs w:val="28"/>
        </w:rPr>
        <w:t>八、</w:t>
      </w:r>
      <w:r>
        <w:rPr>
          <w:rFonts w:hint="eastAsia"/>
          <w:color w:val="000000"/>
          <w:sz w:val="28"/>
          <w:szCs w:val="28"/>
        </w:rPr>
        <w:t>本要點所需費用，由本部相關預算支應。</w:t>
      </w:r>
    </w:p>
    <w:sectPr w:rsidR="00B37FA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F2B" w:rsidRDefault="006B4F2B" w:rsidP="0016213D">
      <w:r>
        <w:separator/>
      </w:r>
    </w:p>
  </w:endnote>
  <w:endnote w:type="continuationSeparator" w:id="1">
    <w:p w:rsidR="006B4F2B" w:rsidRDefault="006B4F2B" w:rsidP="00162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F2B" w:rsidRDefault="006B4F2B" w:rsidP="0016213D">
      <w:r>
        <w:separator/>
      </w:r>
    </w:p>
  </w:footnote>
  <w:footnote w:type="continuationSeparator" w:id="1">
    <w:p w:rsidR="006B4F2B" w:rsidRDefault="006B4F2B" w:rsidP="00162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4A1"/>
    <w:rsid w:val="00104AB9"/>
    <w:rsid w:val="0016213D"/>
    <w:rsid w:val="002123BF"/>
    <w:rsid w:val="0021363C"/>
    <w:rsid w:val="002B7513"/>
    <w:rsid w:val="00497E66"/>
    <w:rsid w:val="005F16DA"/>
    <w:rsid w:val="006B4F2B"/>
    <w:rsid w:val="00763D5E"/>
    <w:rsid w:val="008F0C10"/>
    <w:rsid w:val="009350FC"/>
    <w:rsid w:val="009B10F9"/>
    <w:rsid w:val="00B37FA1"/>
    <w:rsid w:val="00B75E00"/>
    <w:rsid w:val="00BE2808"/>
    <w:rsid w:val="00C302AC"/>
    <w:rsid w:val="00C354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4A1"/>
    <w:pPr>
      <w:widowControl w:val="0"/>
    </w:pPr>
    <w:rPr>
      <w:rFonts w:ascii="標楷體" w:eastAsia="標楷體" w:hAnsi="標楷體"/>
      <w:snapToGrid w:val="0"/>
      <w:kern w:val="36"/>
      <w:sz w:val="52"/>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54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6213D"/>
    <w:pPr>
      <w:tabs>
        <w:tab w:val="center" w:pos="4153"/>
        <w:tab w:val="right" w:pos="8306"/>
      </w:tabs>
      <w:snapToGrid w:val="0"/>
    </w:pPr>
    <w:rPr>
      <w:sz w:val="20"/>
      <w:szCs w:val="20"/>
    </w:rPr>
  </w:style>
  <w:style w:type="character" w:customStyle="1" w:styleId="a5">
    <w:name w:val="頁首 字元"/>
    <w:link w:val="a4"/>
    <w:rsid w:val="0016213D"/>
    <w:rPr>
      <w:rFonts w:ascii="標楷體" w:eastAsia="標楷體" w:hAnsi="標楷體"/>
      <w:snapToGrid/>
      <w:kern w:val="36"/>
    </w:rPr>
  </w:style>
  <w:style w:type="paragraph" w:styleId="a6">
    <w:name w:val="footer"/>
    <w:basedOn w:val="a"/>
    <w:link w:val="a7"/>
    <w:rsid w:val="0016213D"/>
    <w:pPr>
      <w:tabs>
        <w:tab w:val="center" w:pos="4153"/>
        <w:tab w:val="right" w:pos="8306"/>
      </w:tabs>
      <w:snapToGrid w:val="0"/>
    </w:pPr>
    <w:rPr>
      <w:sz w:val="20"/>
      <w:szCs w:val="20"/>
    </w:rPr>
  </w:style>
  <w:style w:type="character" w:customStyle="1" w:styleId="a7">
    <w:name w:val="頁尾 字元"/>
    <w:link w:val="a6"/>
    <w:rsid w:val="0016213D"/>
    <w:rPr>
      <w:rFonts w:ascii="標楷體" w:eastAsia="標楷體" w:hAnsi="標楷體"/>
      <w:snapToGrid/>
      <w:kern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Company>教育部</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教育奉獻獎選拔及表揚要點</dc:title>
  <dc:creator>教育部</dc:creator>
  <cp:lastModifiedBy>czps</cp:lastModifiedBy>
  <cp:revision>2</cp:revision>
  <dcterms:created xsi:type="dcterms:W3CDTF">2015-02-24T02:55:00Z</dcterms:created>
  <dcterms:modified xsi:type="dcterms:W3CDTF">2015-02-24T02:55:00Z</dcterms:modified>
</cp:coreProperties>
</file>