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F1" w:rsidRPr="00862874" w:rsidRDefault="00596CF1" w:rsidP="00596CF1">
      <w:pPr>
        <w:snapToGrid w:val="0"/>
        <w:spacing w:line="500" w:lineRule="atLeast"/>
        <w:ind w:leftChars="-236" w:left="-566"/>
        <w:jc w:val="center"/>
        <w:rPr>
          <w:rFonts w:ascii="新細明體" w:hAnsi="新細明體"/>
          <w:b/>
        </w:rPr>
      </w:pPr>
      <w:r w:rsidRPr="00862874">
        <w:rPr>
          <w:rFonts w:ascii="新細明體" w:hAnsi="新細明體" w:hint="eastAsia"/>
          <w:b/>
          <w:sz w:val="36"/>
          <w:szCs w:val="36"/>
        </w:rPr>
        <w:t>「2</w:t>
      </w:r>
      <w:r w:rsidR="00602593" w:rsidRPr="00862874">
        <w:rPr>
          <w:rFonts w:ascii="新細明體" w:hAnsi="新細明體" w:hint="eastAsia"/>
          <w:b/>
          <w:sz w:val="36"/>
          <w:szCs w:val="36"/>
        </w:rPr>
        <w:t>015</w:t>
      </w:r>
      <w:r w:rsidRPr="00862874">
        <w:rPr>
          <w:rFonts w:ascii="新細明體" w:hAnsi="新細明體" w:hint="eastAsia"/>
          <w:b/>
          <w:sz w:val="36"/>
          <w:szCs w:val="36"/>
        </w:rPr>
        <w:t>年</w:t>
      </w:r>
      <w:r w:rsidRPr="00862874">
        <w:rPr>
          <w:rFonts w:ascii="新細明體" w:hAnsi="新細明體"/>
          <w:b/>
          <w:sz w:val="36"/>
          <w:szCs w:val="36"/>
        </w:rPr>
        <w:t>文</w:t>
      </w:r>
      <w:r w:rsidRPr="00862874">
        <w:rPr>
          <w:rFonts w:ascii="新細明體" w:hAnsi="新細明體" w:hint="eastAsia"/>
          <w:b/>
          <w:sz w:val="36"/>
          <w:szCs w:val="36"/>
        </w:rPr>
        <w:t>化部</w:t>
      </w:r>
      <w:r w:rsidRPr="00862874">
        <w:rPr>
          <w:rFonts w:ascii="新細明體" w:hAnsi="新細明體"/>
          <w:b/>
          <w:sz w:val="36"/>
          <w:szCs w:val="36"/>
        </w:rPr>
        <w:t>公共藝術實務講習</w:t>
      </w:r>
      <w:r w:rsidRPr="00862874">
        <w:rPr>
          <w:rFonts w:ascii="新細明體" w:hAnsi="新細明體" w:hint="eastAsia"/>
          <w:b/>
          <w:sz w:val="36"/>
          <w:szCs w:val="36"/>
        </w:rPr>
        <w:t>」</w:t>
      </w:r>
      <w:r w:rsidRPr="00862874">
        <w:rPr>
          <w:rFonts w:ascii="新細明體" w:hAnsi="新細明體"/>
          <w:b/>
          <w:sz w:val="32"/>
          <w:szCs w:val="32"/>
        </w:rPr>
        <w:t>簡章</w:t>
      </w:r>
    </w:p>
    <w:p w:rsidR="00596CF1" w:rsidRPr="00862874" w:rsidRDefault="00596CF1" w:rsidP="00A946D8">
      <w:pPr>
        <w:ind w:leftChars="-236" w:left="-566" w:rightChars="-319" w:right="-766"/>
        <w:jc w:val="center"/>
        <w:rPr>
          <w:b/>
        </w:rPr>
      </w:pPr>
    </w:p>
    <w:p w:rsidR="00A946D8" w:rsidRPr="00862874" w:rsidRDefault="00A946D8" w:rsidP="00A946D8">
      <w:pPr>
        <w:pStyle w:val="a3"/>
        <w:numPr>
          <w:ilvl w:val="0"/>
          <w:numId w:val="2"/>
        </w:numPr>
        <w:snapToGrid w:val="0"/>
        <w:spacing w:line="500" w:lineRule="atLeast"/>
        <w:ind w:leftChars="-236" w:rightChars="-319" w:right="-766"/>
        <w:rPr>
          <w:rFonts w:ascii="新細明體" w:hAnsi="新細明體"/>
          <w:b/>
        </w:rPr>
      </w:pPr>
      <w:r w:rsidRPr="00862874">
        <w:rPr>
          <w:rFonts w:hint="eastAsia"/>
          <w:b/>
          <w:kern w:val="0"/>
        </w:rPr>
        <w:t>課程目的</w:t>
      </w:r>
    </w:p>
    <w:p w:rsidR="00A946D8" w:rsidRPr="00862874" w:rsidRDefault="00A946D8" w:rsidP="00A946D8">
      <w:pPr>
        <w:spacing w:line="360" w:lineRule="auto"/>
        <w:ind w:leftChars="-236" w:left="-566" w:rightChars="-319" w:right="-766"/>
        <w:rPr>
          <w:kern w:val="0"/>
        </w:rPr>
      </w:pPr>
      <w:r w:rsidRPr="00862874">
        <w:rPr>
          <w:rFonts w:hint="eastAsia"/>
          <w:kern w:val="0"/>
        </w:rPr>
        <w:t>為利各機關辦理公共藝術相關業務人員熟悉公共藝術法令的運作及發展，並</w:t>
      </w:r>
      <w:r w:rsidR="006554FD" w:rsidRPr="00862874">
        <w:rPr>
          <w:rFonts w:hint="eastAsia"/>
          <w:kern w:val="0"/>
        </w:rPr>
        <w:t>鼓勵</w:t>
      </w:r>
      <w:r w:rsidRPr="00862874">
        <w:rPr>
          <w:rFonts w:hint="eastAsia"/>
          <w:kern w:val="0"/>
        </w:rPr>
        <w:t>藝術創作者、專業藝術行政者等相關領域人員參與公共藝術</w:t>
      </w:r>
      <w:r w:rsidR="006554FD" w:rsidRPr="00862874">
        <w:rPr>
          <w:rFonts w:hint="eastAsia"/>
          <w:kern w:val="0"/>
        </w:rPr>
        <w:t>計畫</w:t>
      </w:r>
      <w:r w:rsidRPr="00862874">
        <w:rPr>
          <w:rFonts w:hint="eastAsia"/>
          <w:kern w:val="0"/>
        </w:rPr>
        <w:t>，本部特辦理「公共藝術實務講習」。提供公共藝術</w:t>
      </w:r>
      <w:r w:rsidR="006554FD" w:rsidRPr="00862874">
        <w:rPr>
          <w:rFonts w:hint="eastAsia"/>
          <w:kern w:val="0"/>
        </w:rPr>
        <w:t>法令流程</w:t>
      </w:r>
      <w:r w:rsidRPr="00862874">
        <w:rPr>
          <w:rFonts w:hint="eastAsia"/>
          <w:kern w:val="0"/>
        </w:rPr>
        <w:t>、</w:t>
      </w:r>
      <w:r w:rsidR="006554FD" w:rsidRPr="00862874">
        <w:rPr>
          <w:rFonts w:hint="eastAsia"/>
          <w:kern w:val="0"/>
        </w:rPr>
        <w:t>實務執行</w:t>
      </w:r>
      <w:r w:rsidRPr="00862874">
        <w:rPr>
          <w:rFonts w:hint="eastAsia"/>
          <w:kern w:val="0"/>
        </w:rPr>
        <w:t>、</w:t>
      </w:r>
      <w:r w:rsidR="006554FD" w:rsidRPr="00862874">
        <w:rPr>
          <w:rFonts w:hint="eastAsia"/>
          <w:kern w:val="0"/>
        </w:rPr>
        <w:t>以及案例分享</w:t>
      </w:r>
      <w:r w:rsidRPr="00862874">
        <w:rPr>
          <w:rFonts w:hint="eastAsia"/>
          <w:kern w:val="0"/>
        </w:rPr>
        <w:t>，提供公共藝術</w:t>
      </w:r>
      <w:r w:rsidR="006554FD" w:rsidRPr="00862874">
        <w:rPr>
          <w:rFonts w:hint="eastAsia"/>
          <w:kern w:val="0"/>
        </w:rPr>
        <w:t>相關</w:t>
      </w:r>
      <w:r w:rsidRPr="00862874">
        <w:rPr>
          <w:rFonts w:hint="eastAsia"/>
          <w:kern w:val="0"/>
        </w:rPr>
        <w:t>人員理論與實務兼具的課程。</w:t>
      </w:r>
    </w:p>
    <w:p w:rsidR="00A946D8" w:rsidRPr="00862874" w:rsidRDefault="00A946D8" w:rsidP="00A946D8">
      <w:pPr>
        <w:pStyle w:val="a3"/>
        <w:numPr>
          <w:ilvl w:val="0"/>
          <w:numId w:val="2"/>
        </w:numPr>
        <w:spacing w:line="360" w:lineRule="auto"/>
        <w:ind w:leftChars="-236" w:rightChars="-319" w:right="-766"/>
        <w:rPr>
          <w:b/>
          <w:kern w:val="0"/>
        </w:rPr>
      </w:pPr>
      <w:r w:rsidRPr="00862874">
        <w:rPr>
          <w:rFonts w:hint="eastAsia"/>
          <w:b/>
          <w:kern w:val="0"/>
        </w:rPr>
        <w:t>課程對象</w:t>
      </w:r>
    </w:p>
    <w:p w:rsidR="00A946D8" w:rsidRPr="00862874" w:rsidRDefault="00A946D8" w:rsidP="00A946D8">
      <w:pPr>
        <w:spacing w:line="360" w:lineRule="auto"/>
        <w:ind w:leftChars="-236" w:left="-566" w:rightChars="-319" w:right="-766"/>
        <w:rPr>
          <w:kern w:val="0"/>
        </w:rPr>
      </w:pPr>
      <w:r w:rsidRPr="00862874">
        <w:rPr>
          <w:rFonts w:hint="eastAsia"/>
          <w:kern w:val="0"/>
        </w:rPr>
        <w:t>公共藝術承辦人員、各級學校之總務、事務等行政人員、建築師，及參與公共藝術計畫相關專業人士。</w:t>
      </w:r>
    </w:p>
    <w:p w:rsidR="00A946D8" w:rsidRPr="00862874" w:rsidRDefault="00A946D8" w:rsidP="00A946D8">
      <w:pPr>
        <w:pStyle w:val="a3"/>
        <w:numPr>
          <w:ilvl w:val="0"/>
          <w:numId w:val="2"/>
        </w:numPr>
        <w:spacing w:line="360" w:lineRule="auto"/>
        <w:ind w:leftChars="-236" w:rightChars="-319" w:right="-766"/>
        <w:rPr>
          <w:kern w:val="0"/>
        </w:rPr>
      </w:pPr>
      <w:r w:rsidRPr="00862874">
        <w:rPr>
          <w:rFonts w:ascii="新細明體" w:hAnsi="新細明體" w:hint="eastAsia"/>
          <w:b/>
        </w:rPr>
        <w:t>課程規劃</w:t>
      </w:r>
    </w:p>
    <w:p w:rsidR="00A946D8" w:rsidRPr="00862874" w:rsidRDefault="00A946D8" w:rsidP="00A946D8">
      <w:pPr>
        <w:pStyle w:val="a3"/>
        <w:numPr>
          <w:ilvl w:val="0"/>
          <w:numId w:val="1"/>
        </w:numPr>
        <w:snapToGrid w:val="0"/>
        <w:spacing w:after="100" w:afterAutospacing="1" w:line="500" w:lineRule="atLeast"/>
        <w:ind w:leftChars="-236" w:rightChars="-319" w:right="-766"/>
        <w:jc w:val="both"/>
        <w:rPr>
          <w:rFonts w:ascii="新細明體" w:hAnsi="新細明體"/>
        </w:rPr>
      </w:pPr>
      <w:r w:rsidRPr="00862874">
        <w:rPr>
          <w:rFonts w:ascii="新細明體" w:hAnsi="新細明體" w:hint="eastAsia"/>
        </w:rPr>
        <w:t>規劃特色</w:t>
      </w:r>
    </w:p>
    <w:p w:rsidR="00A946D8" w:rsidRPr="00862874" w:rsidRDefault="00A946D8" w:rsidP="00A946D8">
      <w:pPr>
        <w:snapToGrid w:val="0"/>
        <w:spacing w:after="100" w:afterAutospacing="1" w:line="500" w:lineRule="atLeast"/>
        <w:ind w:leftChars="-236" w:left="-566" w:rightChars="-319" w:right="-766"/>
        <w:jc w:val="both"/>
        <w:rPr>
          <w:rFonts w:ascii="新細明體" w:hAnsi="新細明體"/>
        </w:rPr>
      </w:pPr>
      <w:r w:rsidRPr="00862874">
        <w:rPr>
          <w:rFonts w:ascii="新細明體" w:hAnsi="新細明體" w:hint="eastAsia"/>
          <w:b/>
        </w:rPr>
        <w:t>※實務教戰</w:t>
      </w:r>
      <w:proofErr w:type="gramStart"/>
      <w:r w:rsidRPr="00862874">
        <w:rPr>
          <w:rFonts w:ascii="新細明體" w:hAnsi="新細明體" w:hint="eastAsia"/>
        </w:rPr>
        <w:t>─</w:t>
      </w:r>
      <w:proofErr w:type="gramEnd"/>
      <w:r w:rsidRPr="00862874">
        <w:rPr>
          <w:rFonts w:ascii="新細明體" w:hAnsi="新細明體" w:hint="eastAsia"/>
        </w:rPr>
        <w:t>認識法令與流程、如何辦理公共藝術、撰寫</w:t>
      </w:r>
      <w:proofErr w:type="gramStart"/>
      <w:r w:rsidRPr="00862874">
        <w:rPr>
          <w:rFonts w:ascii="新細明體" w:hAnsi="新細明體" w:hint="eastAsia"/>
        </w:rPr>
        <w:t>三</w:t>
      </w:r>
      <w:proofErr w:type="gramEnd"/>
      <w:r w:rsidRPr="00862874">
        <w:rPr>
          <w:rFonts w:ascii="新細明體" w:hAnsi="新細明體" w:hint="eastAsia"/>
        </w:rPr>
        <w:t>階段報告書以及維護管理</w:t>
      </w:r>
      <w:r w:rsidR="006554FD" w:rsidRPr="00862874">
        <w:rPr>
          <w:rFonts w:ascii="新細明體" w:hAnsi="新細明體" w:hint="eastAsia"/>
        </w:rPr>
        <w:t>。</w:t>
      </w:r>
    </w:p>
    <w:p w:rsidR="00A946D8" w:rsidRPr="00862874" w:rsidRDefault="00A946D8" w:rsidP="00A946D8">
      <w:pPr>
        <w:snapToGrid w:val="0"/>
        <w:spacing w:after="100" w:afterAutospacing="1" w:line="500" w:lineRule="atLeast"/>
        <w:ind w:leftChars="-236" w:left="-566" w:rightChars="-319" w:right="-766"/>
        <w:jc w:val="both"/>
      </w:pPr>
      <w:r w:rsidRPr="00862874">
        <w:rPr>
          <w:rFonts w:ascii="新細明體" w:hAnsi="新細明體" w:hint="eastAsia"/>
          <w:b/>
        </w:rPr>
        <w:t>※</w:t>
      </w:r>
      <w:r w:rsidRPr="00862874">
        <w:rPr>
          <w:b/>
        </w:rPr>
        <w:t>公共藝術新美學與民眾參與</w:t>
      </w:r>
      <w:proofErr w:type="gramStart"/>
      <w:r w:rsidRPr="00862874">
        <w:rPr>
          <w:rFonts w:hint="eastAsia"/>
        </w:rPr>
        <w:t>─</w:t>
      </w:r>
      <w:proofErr w:type="gramEnd"/>
      <w:r w:rsidRPr="00862874">
        <w:rPr>
          <w:rFonts w:hint="eastAsia"/>
        </w:rPr>
        <w:t>最新的公共藝術</w:t>
      </w:r>
      <w:r w:rsidR="006554FD" w:rsidRPr="00862874">
        <w:rPr>
          <w:rFonts w:hint="eastAsia"/>
        </w:rPr>
        <w:t>計畫</w:t>
      </w:r>
      <w:r w:rsidRPr="00862874">
        <w:rPr>
          <w:rFonts w:hint="eastAsia"/>
        </w:rPr>
        <w:t>與潮流</w:t>
      </w:r>
      <w:r w:rsidR="006554FD" w:rsidRPr="00862874">
        <w:rPr>
          <w:rFonts w:hint="eastAsia"/>
        </w:rPr>
        <w:t>。</w:t>
      </w:r>
    </w:p>
    <w:p w:rsidR="00A946D8" w:rsidRPr="00862874" w:rsidRDefault="00A946D8" w:rsidP="00A946D8">
      <w:pPr>
        <w:snapToGrid w:val="0"/>
        <w:spacing w:after="100" w:afterAutospacing="1" w:line="500" w:lineRule="atLeast"/>
        <w:ind w:leftChars="-236" w:left="-566" w:rightChars="-319" w:right="-766"/>
        <w:jc w:val="both"/>
      </w:pPr>
      <w:r w:rsidRPr="00862874">
        <w:rPr>
          <w:rFonts w:hint="eastAsia"/>
          <w:b/>
        </w:rPr>
        <w:t>※執行案例分析</w:t>
      </w:r>
      <w:proofErr w:type="gramStart"/>
      <w:r w:rsidRPr="00862874">
        <w:rPr>
          <w:rFonts w:hint="eastAsia"/>
        </w:rPr>
        <w:t>─</w:t>
      </w:r>
      <w:proofErr w:type="gramEnd"/>
      <w:r w:rsidRPr="00862874">
        <w:rPr>
          <w:rFonts w:hint="eastAsia"/>
        </w:rPr>
        <w:t>精選年度案例分享，邀請</w:t>
      </w:r>
      <w:r w:rsidR="006554FD" w:rsidRPr="00862874">
        <w:rPr>
          <w:rFonts w:hint="eastAsia"/>
        </w:rPr>
        <w:t>講師</w:t>
      </w:r>
      <w:r w:rsidRPr="00862874">
        <w:rPr>
          <w:rFonts w:hint="eastAsia"/>
        </w:rPr>
        <w:t>現身說法</w:t>
      </w:r>
      <w:r w:rsidR="006554FD" w:rsidRPr="00862874">
        <w:rPr>
          <w:rFonts w:hint="eastAsia"/>
        </w:rPr>
        <w:t>。</w:t>
      </w:r>
    </w:p>
    <w:p w:rsidR="00A946D8" w:rsidRPr="00862874" w:rsidRDefault="00A946D8" w:rsidP="00A946D8">
      <w:pPr>
        <w:snapToGrid w:val="0"/>
        <w:spacing w:after="100" w:afterAutospacing="1" w:line="500" w:lineRule="atLeast"/>
        <w:ind w:leftChars="-236" w:left="-566" w:rightChars="-319" w:right="-766"/>
        <w:jc w:val="both"/>
      </w:pPr>
      <w:r w:rsidRPr="00862874">
        <w:rPr>
          <w:rFonts w:hint="eastAsia"/>
          <w:b/>
        </w:rPr>
        <w:t>※現場</w:t>
      </w:r>
      <w:r w:rsidRPr="00862874">
        <w:rPr>
          <w:rFonts w:hint="eastAsia"/>
          <w:b/>
        </w:rPr>
        <w:t>Q&amp;A</w:t>
      </w:r>
      <w:proofErr w:type="gramStart"/>
      <w:r w:rsidRPr="00862874">
        <w:rPr>
          <w:rFonts w:hint="eastAsia"/>
        </w:rPr>
        <w:t>─</w:t>
      </w:r>
      <w:proofErr w:type="gramEnd"/>
      <w:r w:rsidRPr="00862874">
        <w:rPr>
          <w:rFonts w:hint="eastAsia"/>
        </w:rPr>
        <w:t>現場問答時間，解答學員問題，</w:t>
      </w:r>
      <w:r w:rsidRPr="00862874">
        <w:t>解答問題，減</w:t>
      </w:r>
      <w:r w:rsidRPr="00862874">
        <w:rPr>
          <w:rFonts w:hint="eastAsia"/>
        </w:rPr>
        <w:t>少</w:t>
      </w:r>
      <w:r w:rsidRPr="00862874">
        <w:t>執行過程中的疑惑</w:t>
      </w:r>
      <w:r w:rsidR="006554FD" w:rsidRPr="00862874">
        <w:rPr>
          <w:rFonts w:hint="eastAsia"/>
        </w:rPr>
        <w:t>。</w:t>
      </w:r>
    </w:p>
    <w:p w:rsidR="00A946D8" w:rsidRPr="00862874" w:rsidRDefault="00A946D8" w:rsidP="00A946D8">
      <w:pPr>
        <w:pStyle w:val="a3"/>
        <w:numPr>
          <w:ilvl w:val="0"/>
          <w:numId w:val="1"/>
        </w:numPr>
        <w:snapToGrid w:val="0"/>
        <w:spacing w:after="100" w:afterAutospacing="1" w:line="500" w:lineRule="atLeast"/>
        <w:ind w:leftChars="-236" w:rightChars="-319" w:right="-766"/>
        <w:jc w:val="both"/>
      </w:pPr>
      <w:bookmarkStart w:id="0" w:name="_GoBack"/>
      <w:bookmarkEnd w:id="0"/>
      <w:r w:rsidRPr="00862874">
        <w:rPr>
          <w:rFonts w:hint="eastAsia"/>
        </w:rPr>
        <w:t>課程表</w:t>
      </w:r>
    </w:p>
    <w:tbl>
      <w:tblPr>
        <w:tblpPr w:leftFromText="180" w:rightFromText="180" w:vertAnchor="text" w:horzAnchor="margin" w:tblpXSpec="center" w:tblpY="16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559"/>
        <w:gridCol w:w="3969"/>
        <w:gridCol w:w="1843"/>
      </w:tblGrid>
      <w:tr w:rsidR="00A946D8" w:rsidRPr="00862874" w:rsidTr="00602593">
        <w:trPr>
          <w:trHeight w:val="20"/>
        </w:trPr>
        <w:tc>
          <w:tcPr>
            <w:tcW w:w="1101" w:type="dxa"/>
            <w:shd w:val="clear" w:color="auto" w:fill="EAF1DD" w:themeFill="accent3" w:themeFillTint="33"/>
            <w:vAlign w:val="center"/>
          </w:tcPr>
          <w:p w:rsidR="00A946D8" w:rsidRPr="00862874" w:rsidRDefault="00A946D8" w:rsidP="00A946D8">
            <w:pPr>
              <w:spacing w:line="400" w:lineRule="exact"/>
              <w:ind w:leftChars="-236" w:left="-566" w:rightChars="-319" w:right="-766"/>
              <w:jc w:val="center"/>
              <w:rPr>
                <w:rFonts w:asciiTheme="minorEastAsia" w:hAnsiTheme="minorEastAsia"/>
                <w:bCs/>
              </w:rPr>
            </w:pPr>
            <w:r w:rsidRPr="00862874">
              <w:rPr>
                <w:rFonts w:asciiTheme="minorEastAsia" w:hAnsiTheme="minorEastAsia"/>
                <w:bCs/>
              </w:rPr>
              <w:t>梯次</w:t>
            </w:r>
          </w:p>
        </w:tc>
        <w:tc>
          <w:tcPr>
            <w:tcW w:w="1559" w:type="dxa"/>
            <w:shd w:val="clear" w:color="auto" w:fill="EAF1DD" w:themeFill="accent3" w:themeFillTint="33"/>
            <w:vAlign w:val="center"/>
          </w:tcPr>
          <w:p w:rsidR="00A946D8" w:rsidRPr="00862874" w:rsidRDefault="00A946D8" w:rsidP="00A946D8">
            <w:pPr>
              <w:spacing w:line="400" w:lineRule="exact"/>
              <w:ind w:leftChars="-236" w:left="-566" w:rightChars="-319" w:right="-766"/>
              <w:jc w:val="center"/>
              <w:rPr>
                <w:rFonts w:asciiTheme="minorEastAsia" w:hAnsiTheme="minorEastAsia"/>
                <w:bCs/>
              </w:rPr>
            </w:pPr>
            <w:r w:rsidRPr="00862874">
              <w:rPr>
                <w:rFonts w:asciiTheme="minorEastAsia" w:hAnsiTheme="minorEastAsia"/>
                <w:bCs/>
              </w:rPr>
              <w:t>時間</w:t>
            </w:r>
          </w:p>
        </w:tc>
        <w:tc>
          <w:tcPr>
            <w:tcW w:w="3969" w:type="dxa"/>
            <w:shd w:val="clear" w:color="auto" w:fill="EAF1DD" w:themeFill="accent3" w:themeFillTint="33"/>
            <w:vAlign w:val="center"/>
          </w:tcPr>
          <w:p w:rsidR="00A946D8" w:rsidRPr="00862874" w:rsidRDefault="00A946D8" w:rsidP="00602593">
            <w:pPr>
              <w:spacing w:line="400" w:lineRule="exact"/>
              <w:ind w:leftChars="-236" w:left="-566" w:rightChars="-319" w:right="-766"/>
              <w:jc w:val="center"/>
              <w:rPr>
                <w:rFonts w:asciiTheme="minorEastAsia" w:hAnsiTheme="minorEastAsia"/>
                <w:bCs/>
              </w:rPr>
            </w:pPr>
            <w:r w:rsidRPr="00862874">
              <w:rPr>
                <w:rFonts w:asciiTheme="minorEastAsia" w:hAnsiTheme="minorEastAsia"/>
                <w:bCs/>
              </w:rPr>
              <w:t>地點</w:t>
            </w:r>
          </w:p>
        </w:tc>
        <w:tc>
          <w:tcPr>
            <w:tcW w:w="1843" w:type="dxa"/>
            <w:shd w:val="clear" w:color="auto" w:fill="EAF1DD" w:themeFill="accent3" w:themeFillTint="33"/>
            <w:vAlign w:val="center"/>
          </w:tcPr>
          <w:p w:rsidR="00A946D8" w:rsidRPr="00862874" w:rsidRDefault="00A946D8" w:rsidP="00A946D8">
            <w:pPr>
              <w:spacing w:line="400" w:lineRule="exact"/>
              <w:ind w:leftChars="-236" w:left="-566" w:rightChars="-319" w:right="-766"/>
              <w:jc w:val="center"/>
              <w:rPr>
                <w:rFonts w:asciiTheme="minorEastAsia" w:hAnsiTheme="minorEastAsia"/>
                <w:bCs/>
              </w:rPr>
            </w:pPr>
            <w:r w:rsidRPr="00862874">
              <w:rPr>
                <w:rFonts w:asciiTheme="minorEastAsia" w:hAnsiTheme="minorEastAsia"/>
                <w:bCs/>
              </w:rPr>
              <w:t>人數</w:t>
            </w:r>
            <w:r w:rsidRPr="00862874">
              <w:rPr>
                <w:rFonts w:asciiTheme="minorEastAsia" w:hAnsiTheme="minorEastAsia" w:hint="eastAsia"/>
                <w:bCs/>
              </w:rPr>
              <w:t>上限</w:t>
            </w:r>
          </w:p>
        </w:tc>
      </w:tr>
      <w:tr w:rsidR="00A946D8" w:rsidRPr="00862874" w:rsidTr="00602593">
        <w:trPr>
          <w:trHeight w:val="20"/>
        </w:trPr>
        <w:tc>
          <w:tcPr>
            <w:tcW w:w="1101" w:type="dxa"/>
            <w:shd w:val="clear" w:color="auto" w:fill="auto"/>
            <w:vAlign w:val="center"/>
          </w:tcPr>
          <w:p w:rsidR="00A946D8" w:rsidRPr="00862874" w:rsidRDefault="00602593" w:rsidP="00A946D8">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高雄</w:t>
            </w:r>
            <w:r w:rsidR="00A946D8" w:rsidRPr="00862874">
              <w:rPr>
                <w:rFonts w:asciiTheme="minorEastAsia" w:hAnsiTheme="minorEastAsia" w:hint="eastAsia"/>
              </w:rPr>
              <w:t>場</w:t>
            </w:r>
          </w:p>
        </w:tc>
        <w:tc>
          <w:tcPr>
            <w:tcW w:w="1559" w:type="dxa"/>
            <w:shd w:val="clear" w:color="auto" w:fill="auto"/>
            <w:vAlign w:val="center"/>
          </w:tcPr>
          <w:p w:rsidR="00A946D8" w:rsidRPr="00862874" w:rsidRDefault="00602593" w:rsidP="00602593">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6</w:t>
            </w:r>
            <w:r w:rsidR="00A946D8" w:rsidRPr="00862874">
              <w:rPr>
                <w:rFonts w:asciiTheme="minorEastAsia" w:hAnsiTheme="minorEastAsia"/>
              </w:rPr>
              <w:t>月</w:t>
            </w:r>
            <w:r w:rsidR="00A946D8" w:rsidRPr="00862874">
              <w:rPr>
                <w:rFonts w:asciiTheme="minorEastAsia" w:hAnsiTheme="minorEastAsia" w:hint="eastAsia"/>
              </w:rPr>
              <w:t>2</w:t>
            </w:r>
            <w:r w:rsidRPr="00862874">
              <w:rPr>
                <w:rFonts w:asciiTheme="minorEastAsia" w:hAnsiTheme="minorEastAsia" w:hint="eastAsia"/>
              </w:rPr>
              <w:t>5</w:t>
            </w:r>
            <w:r w:rsidR="00A946D8" w:rsidRPr="00862874">
              <w:rPr>
                <w:rFonts w:asciiTheme="minorEastAsia" w:hAnsiTheme="minorEastAsia" w:hint="eastAsia"/>
              </w:rPr>
              <w:t>日</w:t>
            </w:r>
          </w:p>
        </w:tc>
        <w:tc>
          <w:tcPr>
            <w:tcW w:w="3969" w:type="dxa"/>
            <w:shd w:val="clear" w:color="auto" w:fill="auto"/>
            <w:vAlign w:val="center"/>
          </w:tcPr>
          <w:p w:rsidR="00A946D8" w:rsidRPr="00862874" w:rsidRDefault="00602593" w:rsidP="00602593">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高雄市立美術館演講廳</w:t>
            </w:r>
          </w:p>
        </w:tc>
        <w:tc>
          <w:tcPr>
            <w:tcW w:w="1843" w:type="dxa"/>
            <w:shd w:val="clear" w:color="auto" w:fill="auto"/>
            <w:vAlign w:val="center"/>
          </w:tcPr>
          <w:p w:rsidR="00A946D8" w:rsidRPr="00862874" w:rsidRDefault="00602593" w:rsidP="006554FD">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2</w:t>
            </w:r>
            <w:r w:rsidR="006554FD" w:rsidRPr="00862874">
              <w:rPr>
                <w:rFonts w:asciiTheme="minorEastAsia" w:hAnsiTheme="minorEastAsia" w:hint="eastAsia"/>
              </w:rPr>
              <w:t>50</w:t>
            </w:r>
            <w:r w:rsidR="00A946D8" w:rsidRPr="00862874">
              <w:rPr>
                <w:rFonts w:asciiTheme="minorEastAsia" w:hAnsiTheme="minorEastAsia" w:hint="eastAsia"/>
              </w:rPr>
              <w:t>人</w:t>
            </w:r>
          </w:p>
        </w:tc>
      </w:tr>
      <w:tr w:rsidR="00A946D8" w:rsidRPr="00862874" w:rsidTr="00602593">
        <w:trPr>
          <w:trHeight w:val="20"/>
        </w:trPr>
        <w:tc>
          <w:tcPr>
            <w:tcW w:w="1101" w:type="dxa"/>
            <w:shd w:val="clear" w:color="auto" w:fill="auto"/>
            <w:vAlign w:val="center"/>
          </w:tcPr>
          <w:p w:rsidR="00A946D8" w:rsidRPr="00862874" w:rsidRDefault="00602593" w:rsidP="00A946D8">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台中</w:t>
            </w:r>
            <w:r w:rsidR="00A946D8" w:rsidRPr="00862874">
              <w:rPr>
                <w:rFonts w:asciiTheme="minorEastAsia" w:hAnsiTheme="minorEastAsia" w:hint="eastAsia"/>
              </w:rPr>
              <w:t>場</w:t>
            </w:r>
          </w:p>
        </w:tc>
        <w:tc>
          <w:tcPr>
            <w:tcW w:w="1559" w:type="dxa"/>
            <w:shd w:val="clear" w:color="auto" w:fill="auto"/>
            <w:vAlign w:val="center"/>
          </w:tcPr>
          <w:p w:rsidR="00A946D8" w:rsidRPr="00862874" w:rsidRDefault="00602593" w:rsidP="00A946D8">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7</w:t>
            </w:r>
            <w:r w:rsidR="00A946D8" w:rsidRPr="00862874">
              <w:rPr>
                <w:rFonts w:asciiTheme="minorEastAsia" w:hAnsiTheme="minorEastAsia" w:hint="eastAsia"/>
              </w:rPr>
              <w:t>月</w:t>
            </w:r>
            <w:r w:rsidRPr="00862874">
              <w:rPr>
                <w:rFonts w:asciiTheme="minorEastAsia" w:hAnsiTheme="minorEastAsia" w:hint="eastAsia"/>
              </w:rPr>
              <w:t>9</w:t>
            </w:r>
            <w:r w:rsidR="00A946D8" w:rsidRPr="00862874">
              <w:rPr>
                <w:rFonts w:asciiTheme="minorEastAsia" w:hAnsiTheme="minorEastAsia" w:hint="eastAsia"/>
              </w:rPr>
              <w:t>日</w:t>
            </w:r>
          </w:p>
        </w:tc>
        <w:tc>
          <w:tcPr>
            <w:tcW w:w="3969" w:type="dxa"/>
            <w:shd w:val="clear" w:color="auto" w:fill="auto"/>
            <w:vAlign w:val="center"/>
          </w:tcPr>
          <w:p w:rsidR="00A946D8" w:rsidRPr="00862874" w:rsidRDefault="00602593" w:rsidP="00602593">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國立台灣美術館演講廳</w:t>
            </w:r>
          </w:p>
        </w:tc>
        <w:tc>
          <w:tcPr>
            <w:tcW w:w="1843" w:type="dxa"/>
            <w:shd w:val="clear" w:color="auto" w:fill="auto"/>
            <w:vAlign w:val="center"/>
          </w:tcPr>
          <w:p w:rsidR="00A946D8" w:rsidRPr="00862874" w:rsidRDefault="00602593" w:rsidP="006554FD">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2</w:t>
            </w:r>
            <w:r w:rsidR="006554FD" w:rsidRPr="00862874">
              <w:rPr>
                <w:rFonts w:asciiTheme="minorEastAsia" w:hAnsiTheme="minorEastAsia" w:hint="eastAsia"/>
              </w:rPr>
              <w:t>5</w:t>
            </w:r>
            <w:r w:rsidRPr="00862874">
              <w:rPr>
                <w:rFonts w:asciiTheme="minorEastAsia" w:hAnsiTheme="minorEastAsia" w:hint="eastAsia"/>
              </w:rPr>
              <w:t>0</w:t>
            </w:r>
            <w:r w:rsidR="00A946D8" w:rsidRPr="00862874">
              <w:rPr>
                <w:rFonts w:asciiTheme="minorEastAsia" w:hAnsiTheme="minorEastAsia" w:hint="eastAsia"/>
              </w:rPr>
              <w:t>人</w:t>
            </w:r>
          </w:p>
        </w:tc>
      </w:tr>
      <w:tr w:rsidR="00A946D8" w:rsidRPr="00862874" w:rsidTr="00602593">
        <w:trPr>
          <w:trHeight w:val="20"/>
        </w:trPr>
        <w:tc>
          <w:tcPr>
            <w:tcW w:w="1101" w:type="dxa"/>
            <w:shd w:val="clear" w:color="auto" w:fill="auto"/>
            <w:vAlign w:val="center"/>
          </w:tcPr>
          <w:p w:rsidR="00A946D8" w:rsidRPr="00862874" w:rsidRDefault="00602593" w:rsidP="00A946D8">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宜蘭</w:t>
            </w:r>
            <w:r w:rsidR="00A946D8" w:rsidRPr="00862874">
              <w:rPr>
                <w:rFonts w:asciiTheme="minorEastAsia" w:hAnsiTheme="minorEastAsia" w:hint="eastAsia"/>
              </w:rPr>
              <w:t>場</w:t>
            </w:r>
          </w:p>
        </w:tc>
        <w:tc>
          <w:tcPr>
            <w:tcW w:w="1559" w:type="dxa"/>
            <w:shd w:val="clear" w:color="auto" w:fill="auto"/>
            <w:vAlign w:val="center"/>
          </w:tcPr>
          <w:p w:rsidR="00A946D8" w:rsidRPr="00862874" w:rsidRDefault="00602593" w:rsidP="00602593">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7</w:t>
            </w:r>
            <w:r w:rsidR="00A946D8" w:rsidRPr="00862874">
              <w:rPr>
                <w:rFonts w:asciiTheme="minorEastAsia" w:hAnsiTheme="minorEastAsia" w:hint="eastAsia"/>
              </w:rPr>
              <w:t>月</w:t>
            </w:r>
            <w:r w:rsidRPr="00862874">
              <w:rPr>
                <w:rFonts w:asciiTheme="minorEastAsia" w:hAnsiTheme="minorEastAsia" w:hint="eastAsia"/>
              </w:rPr>
              <w:t>13</w:t>
            </w:r>
            <w:r w:rsidR="00A946D8" w:rsidRPr="00862874">
              <w:rPr>
                <w:rFonts w:asciiTheme="minorEastAsia" w:hAnsiTheme="minorEastAsia" w:hint="eastAsia"/>
              </w:rPr>
              <w:t>日</w:t>
            </w:r>
          </w:p>
        </w:tc>
        <w:tc>
          <w:tcPr>
            <w:tcW w:w="3969" w:type="dxa"/>
            <w:shd w:val="clear" w:color="auto" w:fill="auto"/>
            <w:vAlign w:val="center"/>
          </w:tcPr>
          <w:p w:rsidR="00A946D8" w:rsidRPr="00862874" w:rsidRDefault="00602593" w:rsidP="00602593">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蘭陽博物館二樓會議廳</w:t>
            </w:r>
          </w:p>
        </w:tc>
        <w:tc>
          <w:tcPr>
            <w:tcW w:w="1843" w:type="dxa"/>
            <w:shd w:val="clear" w:color="auto" w:fill="auto"/>
            <w:vAlign w:val="center"/>
          </w:tcPr>
          <w:p w:rsidR="00A946D8" w:rsidRPr="00862874" w:rsidRDefault="006554FD" w:rsidP="00A946D8">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80</w:t>
            </w:r>
            <w:r w:rsidR="00A946D8" w:rsidRPr="00862874">
              <w:rPr>
                <w:rFonts w:asciiTheme="minorEastAsia" w:hAnsiTheme="minorEastAsia" w:hint="eastAsia"/>
              </w:rPr>
              <w:t>人</w:t>
            </w:r>
          </w:p>
        </w:tc>
      </w:tr>
      <w:tr w:rsidR="00A946D8" w:rsidRPr="00862874" w:rsidTr="00602593">
        <w:trPr>
          <w:trHeight w:val="20"/>
        </w:trPr>
        <w:tc>
          <w:tcPr>
            <w:tcW w:w="1101" w:type="dxa"/>
            <w:shd w:val="clear" w:color="auto" w:fill="auto"/>
            <w:vAlign w:val="center"/>
          </w:tcPr>
          <w:p w:rsidR="00A946D8" w:rsidRPr="00862874" w:rsidRDefault="00602593" w:rsidP="00A946D8">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台北</w:t>
            </w:r>
            <w:r w:rsidR="00A946D8" w:rsidRPr="00862874">
              <w:rPr>
                <w:rFonts w:asciiTheme="minorEastAsia" w:hAnsiTheme="minorEastAsia" w:hint="eastAsia"/>
              </w:rPr>
              <w:t>場</w:t>
            </w:r>
          </w:p>
        </w:tc>
        <w:tc>
          <w:tcPr>
            <w:tcW w:w="1559" w:type="dxa"/>
            <w:shd w:val="clear" w:color="auto" w:fill="auto"/>
            <w:vAlign w:val="center"/>
          </w:tcPr>
          <w:p w:rsidR="00A946D8" w:rsidRPr="00862874" w:rsidRDefault="00602593" w:rsidP="00602593">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7</w:t>
            </w:r>
            <w:r w:rsidR="00A946D8" w:rsidRPr="00862874">
              <w:rPr>
                <w:rFonts w:asciiTheme="minorEastAsia" w:hAnsiTheme="minorEastAsia"/>
              </w:rPr>
              <w:t>月</w:t>
            </w:r>
            <w:r w:rsidRPr="00862874">
              <w:rPr>
                <w:rFonts w:asciiTheme="minorEastAsia" w:hAnsiTheme="minorEastAsia" w:hint="eastAsia"/>
              </w:rPr>
              <w:t>23</w:t>
            </w:r>
            <w:r w:rsidR="00A946D8" w:rsidRPr="00862874">
              <w:rPr>
                <w:rFonts w:asciiTheme="minorEastAsia" w:hAnsiTheme="minorEastAsia" w:hint="eastAsia"/>
              </w:rPr>
              <w:t>日</w:t>
            </w:r>
          </w:p>
        </w:tc>
        <w:tc>
          <w:tcPr>
            <w:tcW w:w="3969" w:type="dxa"/>
            <w:shd w:val="clear" w:color="auto" w:fill="auto"/>
            <w:vAlign w:val="center"/>
          </w:tcPr>
          <w:p w:rsidR="00A946D8" w:rsidRPr="00862874" w:rsidRDefault="00602593" w:rsidP="00602593">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國立台灣大學普通教學館102教室</w:t>
            </w:r>
          </w:p>
        </w:tc>
        <w:tc>
          <w:tcPr>
            <w:tcW w:w="1843" w:type="dxa"/>
            <w:shd w:val="clear" w:color="auto" w:fill="auto"/>
            <w:vAlign w:val="center"/>
          </w:tcPr>
          <w:p w:rsidR="00A946D8" w:rsidRPr="00862874" w:rsidRDefault="00602593" w:rsidP="00A946D8">
            <w:pPr>
              <w:spacing w:line="400" w:lineRule="exact"/>
              <w:ind w:leftChars="-236" w:left="-566" w:rightChars="-319" w:right="-766"/>
              <w:jc w:val="center"/>
              <w:rPr>
                <w:rFonts w:asciiTheme="minorEastAsia" w:hAnsiTheme="minorEastAsia"/>
              </w:rPr>
            </w:pPr>
            <w:r w:rsidRPr="00862874">
              <w:rPr>
                <w:rFonts w:asciiTheme="minorEastAsia" w:hAnsiTheme="minorEastAsia" w:hint="eastAsia"/>
              </w:rPr>
              <w:t>200</w:t>
            </w:r>
            <w:r w:rsidR="00A946D8" w:rsidRPr="00862874">
              <w:rPr>
                <w:rFonts w:asciiTheme="minorEastAsia" w:hAnsiTheme="minorEastAsia" w:hint="eastAsia"/>
              </w:rPr>
              <w:t>人</w:t>
            </w:r>
          </w:p>
        </w:tc>
      </w:tr>
    </w:tbl>
    <w:p w:rsidR="00A946D8" w:rsidRPr="00862874" w:rsidRDefault="00A946D8" w:rsidP="00A946D8">
      <w:pPr>
        <w:snapToGrid w:val="0"/>
        <w:spacing w:line="360" w:lineRule="auto"/>
        <w:jc w:val="both"/>
        <w:rPr>
          <w:rFonts w:ascii="新細明體" w:hAnsi="新細明體"/>
        </w:rPr>
      </w:pPr>
    </w:p>
    <w:p w:rsidR="001B646D" w:rsidRPr="00862874" w:rsidRDefault="001B646D" w:rsidP="001B646D">
      <w:pPr>
        <w:pStyle w:val="a3"/>
        <w:numPr>
          <w:ilvl w:val="0"/>
          <w:numId w:val="1"/>
        </w:numPr>
        <w:snapToGrid w:val="0"/>
        <w:spacing w:line="360" w:lineRule="auto"/>
        <w:ind w:leftChars="0"/>
        <w:jc w:val="both"/>
        <w:rPr>
          <w:rFonts w:ascii="新細明體" w:hAnsi="新細明體"/>
        </w:rPr>
      </w:pPr>
      <w:r w:rsidRPr="00862874">
        <w:rPr>
          <w:rFonts w:ascii="新細明體" w:hAnsi="新細明體"/>
        </w:rPr>
        <w:t>報名方式：</w:t>
      </w:r>
    </w:p>
    <w:p w:rsidR="001B646D" w:rsidRPr="00862874" w:rsidRDefault="001B646D" w:rsidP="001B646D">
      <w:pPr>
        <w:numPr>
          <w:ilvl w:val="0"/>
          <w:numId w:val="3"/>
        </w:numPr>
        <w:snapToGrid w:val="0"/>
        <w:spacing w:line="360" w:lineRule="auto"/>
        <w:ind w:leftChars="-236" w:left="-566" w:firstLine="360"/>
        <w:rPr>
          <w:rFonts w:ascii="新細明體" w:hAnsi="新細明體"/>
        </w:rPr>
      </w:pPr>
      <w:r w:rsidRPr="00862874">
        <w:rPr>
          <w:rFonts w:ascii="新細明體" w:hAnsi="新細明體" w:hint="eastAsia"/>
        </w:rPr>
        <w:t>全程</w:t>
      </w:r>
      <w:r w:rsidRPr="00862874">
        <w:rPr>
          <w:rFonts w:ascii="新細明體" w:hAnsi="新細明體"/>
        </w:rPr>
        <w:t>免費，一律</w:t>
      </w:r>
      <w:proofErr w:type="gramStart"/>
      <w:r w:rsidRPr="00862874">
        <w:rPr>
          <w:rFonts w:ascii="新細明體" w:hAnsi="新細明體"/>
        </w:rPr>
        <w:t>採網路</w:t>
      </w:r>
      <w:r w:rsidRPr="00862874">
        <w:rPr>
          <w:rFonts w:ascii="新細明體" w:hAnsi="新細明體" w:hint="eastAsia"/>
        </w:rPr>
        <w:t>線上報名</w:t>
      </w:r>
      <w:proofErr w:type="gramEnd"/>
      <w:r w:rsidRPr="00862874">
        <w:rPr>
          <w:rFonts w:ascii="新細明體" w:hAnsi="新細明體" w:hint="eastAsia"/>
        </w:rPr>
        <w:t>。</w:t>
      </w:r>
    </w:p>
    <w:p w:rsidR="001B646D" w:rsidRPr="00862874" w:rsidRDefault="001B646D" w:rsidP="001B646D">
      <w:pPr>
        <w:numPr>
          <w:ilvl w:val="0"/>
          <w:numId w:val="3"/>
        </w:numPr>
        <w:snapToGrid w:val="0"/>
        <w:spacing w:line="360" w:lineRule="auto"/>
        <w:ind w:leftChars="-236" w:left="-566" w:firstLine="360"/>
        <w:rPr>
          <w:rFonts w:ascii="新細明體" w:hAnsi="新細明體"/>
        </w:rPr>
      </w:pPr>
      <w:r w:rsidRPr="00862874">
        <w:rPr>
          <w:rFonts w:ascii="新細明體" w:hAnsi="新細明體" w:hint="eastAsia"/>
        </w:rPr>
        <w:lastRenderedPageBreak/>
        <w:t>報名日期及截止：</w:t>
      </w:r>
      <w:r w:rsidR="00602593" w:rsidRPr="00862874">
        <w:rPr>
          <w:rFonts w:ascii="新細明體" w:hAnsi="新細明體" w:hint="eastAsia"/>
        </w:rPr>
        <w:t>6</w:t>
      </w:r>
      <w:r w:rsidRPr="00862874">
        <w:rPr>
          <w:rFonts w:ascii="新細明體" w:hAnsi="新細明體" w:hint="eastAsia"/>
        </w:rPr>
        <w:t>月</w:t>
      </w:r>
      <w:r w:rsidR="00602593" w:rsidRPr="00862874">
        <w:rPr>
          <w:rFonts w:ascii="新細明體" w:hAnsi="新細明體" w:hint="eastAsia"/>
        </w:rPr>
        <w:t>3</w:t>
      </w:r>
      <w:r w:rsidRPr="00862874">
        <w:rPr>
          <w:rFonts w:ascii="新細明體" w:hAnsi="新細明體" w:hint="eastAsia"/>
        </w:rPr>
        <w:t>日(</w:t>
      </w:r>
      <w:r w:rsidR="00602593" w:rsidRPr="00862874">
        <w:rPr>
          <w:rFonts w:ascii="新細明體" w:hAnsi="新細明體" w:hint="eastAsia"/>
        </w:rPr>
        <w:t>三</w:t>
      </w:r>
      <w:r w:rsidRPr="00862874">
        <w:rPr>
          <w:rFonts w:ascii="新細明體" w:hAnsi="新細明體" w:hint="eastAsia"/>
        </w:rPr>
        <w:t>)</w:t>
      </w:r>
      <w:r w:rsidR="00602593" w:rsidRPr="00862874">
        <w:rPr>
          <w:rFonts w:ascii="新細明體" w:hAnsi="新細明體" w:hint="eastAsia"/>
        </w:rPr>
        <w:t>中午12點整</w:t>
      </w:r>
      <w:r w:rsidRPr="00862874">
        <w:rPr>
          <w:rFonts w:ascii="新細明體" w:hAnsi="新細明體" w:hint="eastAsia"/>
        </w:rPr>
        <w:t>開始報名，額滿為止。</w:t>
      </w:r>
    </w:p>
    <w:p w:rsidR="001B646D" w:rsidRPr="00862874" w:rsidRDefault="00602593" w:rsidP="001B646D">
      <w:pPr>
        <w:numPr>
          <w:ilvl w:val="0"/>
          <w:numId w:val="3"/>
        </w:numPr>
        <w:snapToGrid w:val="0"/>
        <w:spacing w:line="360" w:lineRule="auto"/>
        <w:ind w:leftChars="-236" w:left="-566" w:firstLine="360"/>
        <w:rPr>
          <w:rFonts w:ascii="新細明體" w:hAnsi="新細明體"/>
        </w:rPr>
      </w:pPr>
      <w:r w:rsidRPr="00862874">
        <w:rPr>
          <w:rFonts w:ascii="新細明體" w:hAnsi="新細明體"/>
          <w:noProof/>
        </w:rPr>
        <w:drawing>
          <wp:anchor distT="0" distB="0" distL="114300" distR="114300" simplePos="0" relativeHeight="251658240" behindDoc="0" locked="0" layoutInCell="1" allowOverlap="1">
            <wp:simplePos x="0" y="0"/>
            <wp:positionH relativeFrom="column">
              <wp:posOffset>4103370</wp:posOffset>
            </wp:positionH>
            <wp:positionV relativeFrom="paragraph">
              <wp:posOffset>128905</wp:posOffset>
            </wp:positionV>
            <wp:extent cx="1527810" cy="1524000"/>
            <wp:effectExtent l="19050" t="0" r="0" b="0"/>
            <wp:wrapNone/>
            <wp:docPr id="2" name="圖片 1" descr="public art website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art website QR code.png"/>
                    <pic:cNvPicPr/>
                  </pic:nvPicPr>
                  <pic:blipFill>
                    <a:blip r:embed="rId7" cstate="print"/>
                    <a:stretch>
                      <a:fillRect/>
                    </a:stretch>
                  </pic:blipFill>
                  <pic:spPr>
                    <a:xfrm>
                      <a:off x="0" y="0"/>
                      <a:ext cx="1527810" cy="1524000"/>
                    </a:xfrm>
                    <a:prstGeom prst="rect">
                      <a:avLst/>
                    </a:prstGeom>
                  </pic:spPr>
                </pic:pic>
              </a:graphicData>
            </a:graphic>
          </wp:anchor>
        </w:drawing>
      </w:r>
      <w:r w:rsidR="001B646D" w:rsidRPr="00862874">
        <w:rPr>
          <w:rFonts w:ascii="新細明體" w:hAnsi="新細明體"/>
        </w:rPr>
        <w:t>請至文</w:t>
      </w:r>
      <w:r w:rsidR="001B646D" w:rsidRPr="00862874">
        <w:rPr>
          <w:rFonts w:ascii="新細明體" w:hAnsi="新細明體" w:hint="eastAsia"/>
        </w:rPr>
        <w:t>化部</w:t>
      </w:r>
      <w:r w:rsidR="001B646D" w:rsidRPr="00862874">
        <w:rPr>
          <w:rFonts w:ascii="新細明體" w:hAnsi="新細明體"/>
        </w:rPr>
        <w:t>公共藝術</w:t>
      </w:r>
      <w:r w:rsidR="001B646D" w:rsidRPr="00862874">
        <w:rPr>
          <w:rFonts w:ascii="新細明體" w:hAnsi="新細明體" w:hint="eastAsia"/>
        </w:rPr>
        <w:t>官方</w:t>
      </w:r>
      <w:r w:rsidR="001B646D" w:rsidRPr="00862874">
        <w:rPr>
          <w:rFonts w:ascii="新細明體" w:hAnsi="新細明體"/>
        </w:rPr>
        <w:t>網</w:t>
      </w:r>
      <w:r w:rsidR="001B646D" w:rsidRPr="00862874">
        <w:rPr>
          <w:rFonts w:ascii="新細明體" w:hAnsi="新細明體" w:hint="eastAsia"/>
        </w:rPr>
        <w:t>站點選</w:t>
      </w:r>
    </w:p>
    <w:p w:rsidR="001B646D" w:rsidRPr="00862874" w:rsidRDefault="001B646D" w:rsidP="001B646D">
      <w:pPr>
        <w:snapToGrid w:val="0"/>
        <w:spacing w:line="360" w:lineRule="auto"/>
        <w:ind w:left="-206"/>
        <w:rPr>
          <w:rFonts w:ascii="新細明體" w:hAnsi="新細明體"/>
        </w:rPr>
      </w:pPr>
      <w:r w:rsidRPr="00862874">
        <w:rPr>
          <w:rFonts w:ascii="新細明體" w:hAnsi="新細明體" w:hint="eastAsia"/>
          <w:b/>
        </w:rPr>
        <w:t>「201</w:t>
      </w:r>
      <w:r w:rsidR="00602593" w:rsidRPr="00862874">
        <w:rPr>
          <w:rFonts w:ascii="新細明體" w:hAnsi="新細明體" w:hint="eastAsia"/>
          <w:b/>
        </w:rPr>
        <w:t>5</w:t>
      </w:r>
      <w:r w:rsidRPr="00862874">
        <w:rPr>
          <w:rFonts w:ascii="新細明體" w:hAnsi="新細明體" w:hint="eastAsia"/>
          <w:b/>
        </w:rPr>
        <w:t>年文化部</w:t>
      </w:r>
      <w:r w:rsidRPr="00862874">
        <w:rPr>
          <w:rFonts w:ascii="新細明體" w:hAnsi="新細明體"/>
          <w:b/>
        </w:rPr>
        <w:t>公共藝術實務講習</w:t>
      </w:r>
      <w:r w:rsidRPr="00862874">
        <w:rPr>
          <w:rFonts w:ascii="新細明體" w:hAnsi="新細明體" w:hint="eastAsia"/>
          <w:b/>
        </w:rPr>
        <w:t>」</w:t>
      </w:r>
      <w:r w:rsidRPr="00862874">
        <w:rPr>
          <w:rFonts w:ascii="新細明體" w:hAnsi="新細明體" w:hint="eastAsia"/>
        </w:rPr>
        <w:t>連結至專屬網頁報名</w:t>
      </w:r>
    </w:p>
    <w:p w:rsidR="008C05CD" w:rsidRPr="00862874" w:rsidRDefault="008C05CD" w:rsidP="001B646D">
      <w:pPr>
        <w:snapToGrid w:val="0"/>
        <w:spacing w:line="360" w:lineRule="auto"/>
        <w:ind w:left="-206"/>
        <w:rPr>
          <w:rFonts w:ascii="新細明體" w:hAnsi="新細明體"/>
        </w:rPr>
      </w:pPr>
      <w:r w:rsidRPr="00862874">
        <w:rPr>
          <w:rFonts w:ascii="新細明體" w:hAnsi="新細明體" w:hint="eastAsia"/>
        </w:rPr>
        <w:t>請連結網址：</w:t>
      </w:r>
      <w:r w:rsidR="00602593" w:rsidRPr="00862874">
        <w:rPr>
          <w:rFonts w:ascii="新細明體" w:hAnsi="新細明體"/>
        </w:rPr>
        <w:t>http://2015publicart.twotrees.tw/</w:t>
      </w:r>
    </w:p>
    <w:p w:rsidR="008C05CD" w:rsidRPr="00862874" w:rsidRDefault="008C05CD" w:rsidP="008C05CD">
      <w:pPr>
        <w:snapToGrid w:val="0"/>
        <w:spacing w:line="360" w:lineRule="auto"/>
        <w:ind w:left="-206"/>
        <w:rPr>
          <w:rFonts w:ascii="新細明體" w:hAnsi="新細明體"/>
        </w:rPr>
      </w:pPr>
      <w:r w:rsidRPr="00862874">
        <w:rPr>
          <w:rFonts w:ascii="新細明體" w:hAnsi="新細明體" w:hint="eastAsia"/>
        </w:rPr>
        <w:t>或以手機、平板電腦掃描右方</w:t>
      </w:r>
      <w:proofErr w:type="spellStart"/>
      <w:r w:rsidRPr="00862874">
        <w:rPr>
          <w:rFonts w:ascii="新細明體" w:hAnsi="新細明體" w:hint="eastAsia"/>
        </w:rPr>
        <w:t>QRcode</w:t>
      </w:r>
      <w:proofErr w:type="spellEnd"/>
      <w:r w:rsidR="00602593" w:rsidRPr="00862874">
        <w:rPr>
          <w:rFonts w:ascii="新細明體" w:hAnsi="新細明體" w:hint="eastAsia"/>
        </w:rPr>
        <w:t>。</w:t>
      </w:r>
    </w:p>
    <w:p w:rsidR="001B646D" w:rsidRPr="00862874" w:rsidRDefault="001B646D" w:rsidP="001B646D">
      <w:pPr>
        <w:pStyle w:val="a3"/>
        <w:numPr>
          <w:ilvl w:val="0"/>
          <w:numId w:val="1"/>
        </w:numPr>
        <w:snapToGrid w:val="0"/>
        <w:spacing w:line="360" w:lineRule="auto"/>
        <w:ind w:leftChars="0"/>
        <w:rPr>
          <w:rFonts w:ascii="新細明體" w:hAnsi="新細明體"/>
        </w:rPr>
      </w:pPr>
      <w:r w:rsidRPr="00862874">
        <w:rPr>
          <w:rFonts w:ascii="新細明體" w:hAnsi="新細明體" w:hint="eastAsia"/>
        </w:rPr>
        <w:t xml:space="preserve">承辦單位：帝門藝術教育基金會 </w:t>
      </w:r>
      <w:r w:rsidR="00602593" w:rsidRPr="00862874">
        <w:rPr>
          <w:rFonts w:ascii="新細明體" w:hAnsi="新細明體" w:hint="eastAsia"/>
        </w:rPr>
        <w:t>(</w:t>
      </w:r>
      <w:r w:rsidRPr="00862874">
        <w:rPr>
          <w:rFonts w:ascii="新細明體" w:hAnsi="新細明體" w:hint="eastAsia"/>
        </w:rPr>
        <w:t>02</w:t>
      </w:r>
      <w:r w:rsidR="00602593" w:rsidRPr="00862874">
        <w:rPr>
          <w:rFonts w:ascii="新細明體" w:hAnsi="新細明體" w:hint="eastAsia"/>
        </w:rPr>
        <w:t xml:space="preserve">) </w:t>
      </w:r>
      <w:r w:rsidRPr="00862874">
        <w:rPr>
          <w:rFonts w:ascii="新細明體" w:hAnsi="新細明體" w:hint="eastAsia"/>
        </w:rPr>
        <w:t>2391-9394</w:t>
      </w:r>
      <w:r w:rsidR="00862874" w:rsidRPr="00862874">
        <w:rPr>
          <w:rFonts w:ascii="新細明體" w:hAnsi="新細明體" w:hint="eastAsia"/>
        </w:rPr>
        <w:t xml:space="preserve"> </w:t>
      </w:r>
      <w:r w:rsidRPr="00862874">
        <w:rPr>
          <w:rFonts w:ascii="新細明體" w:hAnsi="新細明體" w:hint="eastAsia"/>
        </w:rPr>
        <w:t>#1</w:t>
      </w:r>
      <w:r w:rsidR="00602593" w:rsidRPr="00862874">
        <w:rPr>
          <w:rFonts w:ascii="新細明體" w:hAnsi="新細明體" w:hint="eastAsia"/>
        </w:rPr>
        <w:t>0羅</w:t>
      </w:r>
      <w:r w:rsidRPr="00862874">
        <w:rPr>
          <w:rFonts w:ascii="新細明體" w:hAnsi="新細明體" w:hint="eastAsia"/>
        </w:rPr>
        <w:t>小姐。</w:t>
      </w:r>
    </w:p>
    <w:p w:rsidR="001B646D" w:rsidRPr="00862874" w:rsidRDefault="001B646D" w:rsidP="001B646D">
      <w:pPr>
        <w:pStyle w:val="a3"/>
        <w:numPr>
          <w:ilvl w:val="0"/>
          <w:numId w:val="2"/>
        </w:numPr>
        <w:spacing w:line="360" w:lineRule="auto"/>
        <w:ind w:leftChars="0"/>
        <w:rPr>
          <w:kern w:val="0"/>
        </w:rPr>
      </w:pPr>
      <w:r w:rsidRPr="00862874">
        <w:rPr>
          <w:rFonts w:ascii="新細明體" w:hAnsi="新細明體" w:hint="eastAsia"/>
          <w:b/>
        </w:rPr>
        <w:t>注意事項</w:t>
      </w:r>
    </w:p>
    <w:p w:rsidR="001B646D" w:rsidRPr="00862874" w:rsidRDefault="001B646D" w:rsidP="001B646D">
      <w:pPr>
        <w:pStyle w:val="a3"/>
        <w:numPr>
          <w:ilvl w:val="0"/>
          <w:numId w:val="4"/>
        </w:numPr>
        <w:spacing w:line="360" w:lineRule="auto"/>
        <w:ind w:leftChars="0"/>
        <w:rPr>
          <w:kern w:val="0"/>
        </w:rPr>
      </w:pPr>
      <w:r w:rsidRPr="00862874">
        <w:rPr>
          <w:rFonts w:ascii="新細明體" w:hAnsi="新細明體"/>
        </w:rPr>
        <w:t>請務必以</w:t>
      </w:r>
      <w:proofErr w:type="gramStart"/>
      <w:r w:rsidRPr="00862874">
        <w:rPr>
          <w:rFonts w:ascii="新細明體" w:hAnsi="新細明體"/>
        </w:rPr>
        <w:t>網路</w:t>
      </w:r>
      <w:r w:rsidRPr="00862874">
        <w:rPr>
          <w:rFonts w:ascii="新細明體" w:hAnsi="新細明體" w:hint="eastAsia"/>
        </w:rPr>
        <w:t>線上</w:t>
      </w:r>
      <w:r w:rsidRPr="00862874">
        <w:rPr>
          <w:rFonts w:ascii="新細明體" w:hAnsi="新細明體"/>
        </w:rPr>
        <w:t>方式</w:t>
      </w:r>
      <w:proofErr w:type="gramEnd"/>
      <w:r w:rsidRPr="00862874">
        <w:rPr>
          <w:rFonts w:ascii="新細明體" w:hAnsi="新細明體"/>
        </w:rPr>
        <w:t>報名。</w:t>
      </w:r>
      <w:r w:rsidRPr="00862874">
        <w:rPr>
          <w:rFonts w:ascii="新細明體" w:hAnsi="新細明體" w:hint="eastAsia"/>
        </w:rPr>
        <w:t>報名後不克出席者</w:t>
      </w:r>
      <w:r w:rsidRPr="00862874">
        <w:rPr>
          <w:rFonts w:ascii="新細明體" w:hAnsi="新細明體"/>
        </w:rPr>
        <w:t>，</w:t>
      </w:r>
      <w:r w:rsidRPr="00862874">
        <w:rPr>
          <w:rFonts w:ascii="新細明體" w:hAnsi="新細明體" w:hint="eastAsia"/>
        </w:rPr>
        <w:t>請於活動前三日上網取消。</w:t>
      </w:r>
    </w:p>
    <w:p w:rsidR="001B646D" w:rsidRPr="00862874" w:rsidRDefault="001B646D" w:rsidP="001B646D">
      <w:pPr>
        <w:pStyle w:val="a3"/>
        <w:numPr>
          <w:ilvl w:val="0"/>
          <w:numId w:val="4"/>
        </w:numPr>
        <w:spacing w:line="360" w:lineRule="auto"/>
        <w:ind w:leftChars="0"/>
        <w:rPr>
          <w:kern w:val="0"/>
        </w:rPr>
      </w:pPr>
      <w:r w:rsidRPr="00862874">
        <w:rPr>
          <w:rFonts w:ascii="新細明體" w:hAnsi="新細明體" w:hint="eastAsia"/>
        </w:rPr>
        <w:t>為利統計人數與作業流程，活動前兩日將關閉報名系統。</w:t>
      </w:r>
    </w:p>
    <w:p w:rsidR="001B646D" w:rsidRPr="00862874" w:rsidRDefault="001B646D" w:rsidP="001B646D">
      <w:pPr>
        <w:pStyle w:val="a3"/>
        <w:numPr>
          <w:ilvl w:val="0"/>
          <w:numId w:val="4"/>
        </w:numPr>
        <w:spacing w:line="360" w:lineRule="auto"/>
        <w:ind w:leftChars="0"/>
        <w:rPr>
          <w:kern w:val="0"/>
        </w:rPr>
      </w:pPr>
      <w:r w:rsidRPr="00862874">
        <w:rPr>
          <w:rFonts w:ascii="新細明體" w:hAnsi="新細明體"/>
        </w:rPr>
        <w:t>完成報名手續者，</w:t>
      </w:r>
      <w:r w:rsidRPr="00862874">
        <w:rPr>
          <w:rFonts w:ascii="新細明體" w:hAnsi="新細明體" w:hint="eastAsia"/>
        </w:rPr>
        <w:t>請至網站報名查詢處檢視確認。</w:t>
      </w:r>
    </w:p>
    <w:p w:rsidR="001B646D" w:rsidRPr="00862874" w:rsidRDefault="001B646D" w:rsidP="001B646D">
      <w:pPr>
        <w:pStyle w:val="a3"/>
        <w:numPr>
          <w:ilvl w:val="0"/>
          <w:numId w:val="4"/>
        </w:numPr>
        <w:spacing w:line="360" w:lineRule="auto"/>
        <w:ind w:leftChars="0"/>
        <w:rPr>
          <w:kern w:val="0"/>
        </w:rPr>
      </w:pPr>
      <w:r w:rsidRPr="00862874">
        <w:rPr>
          <w:rFonts w:ascii="新細明體" w:hAnsi="新細明體" w:hint="eastAsia"/>
        </w:rPr>
        <w:t>課程及時間地點如有變動，將以網站公告為</w:t>
      </w:r>
      <w:proofErr w:type="gramStart"/>
      <w:r w:rsidRPr="00862874">
        <w:rPr>
          <w:rFonts w:ascii="新細明體" w:hAnsi="新細明體" w:hint="eastAsia"/>
        </w:rPr>
        <w:t>準</w:t>
      </w:r>
      <w:proofErr w:type="gramEnd"/>
      <w:r w:rsidRPr="00862874">
        <w:rPr>
          <w:rFonts w:ascii="新細明體" w:hAnsi="新細明體"/>
        </w:rPr>
        <w:t>。</w:t>
      </w:r>
    </w:p>
    <w:p w:rsidR="001B646D" w:rsidRPr="00862874" w:rsidRDefault="001B646D" w:rsidP="001B646D">
      <w:pPr>
        <w:pStyle w:val="a3"/>
        <w:numPr>
          <w:ilvl w:val="0"/>
          <w:numId w:val="4"/>
        </w:numPr>
        <w:spacing w:line="360" w:lineRule="auto"/>
        <w:ind w:leftChars="0"/>
        <w:rPr>
          <w:kern w:val="0"/>
        </w:rPr>
      </w:pPr>
      <w:r w:rsidRPr="00862874">
        <w:rPr>
          <w:rFonts w:ascii="新細明體" w:hAnsi="新細明體" w:hint="eastAsia"/>
        </w:rPr>
        <w:t>上課時數將計入公務人員終身學習護照時數，需要時數者請務必填寫身分證字號。</w:t>
      </w:r>
    </w:p>
    <w:p w:rsidR="001B646D" w:rsidRPr="00862874" w:rsidRDefault="001B646D" w:rsidP="001B646D">
      <w:pPr>
        <w:pStyle w:val="a3"/>
        <w:numPr>
          <w:ilvl w:val="0"/>
          <w:numId w:val="4"/>
        </w:numPr>
        <w:spacing w:line="360" w:lineRule="auto"/>
        <w:ind w:leftChars="0"/>
        <w:rPr>
          <w:kern w:val="0"/>
        </w:rPr>
      </w:pPr>
      <w:r w:rsidRPr="00862874">
        <w:rPr>
          <w:rFonts w:ascii="新細明體" w:hAnsi="新細明體" w:hint="eastAsia"/>
        </w:rPr>
        <w:t>講習期間如遇颱風，以當地縣市政府公告上班與否作為講習辦理之依據，</w:t>
      </w:r>
      <w:proofErr w:type="gramStart"/>
      <w:r w:rsidRPr="00862874">
        <w:rPr>
          <w:rFonts w:ascii="新細明體" w:hAnsi="新細明體" w:hint="eastAsia"/>
        </w:rPr>
        <w:t>不</w:t>
      </w:r>
      <w:proofErr w:type="gramEnd"/>
      <w:r w:rsidRPr="00862874">
        <w:rPr>
          <w:rFonts w:ascii="新細明體" w:hAnsi="新細明體" w:hint="eastAsia"/>
        </w:rPr>
        <w:t>另行通知，並於網站公告新的講習日期。</w:t>
      </w:r>
    </w:p>
    <w:p w:rsidR="001B646D" w:rsidRPr="00862874" w:rsidRDefault="001B646D" w:rsidP="001B646D">
      <w:pPr>
        <w:pStyle w:val="a3"/>
        <w:numPr>
          <w:ilvl w:val="0"/>
          <w:numId w:val="4"/>
        </w:numPr>
        <w:spacing w:line="360" w:lineRule="auto"/>
        <w:ind w:leftChars="0"/>
        <w:rPr>
          <w:kern w:val="0"/>
        </w:rPr>
      </w:pPr>
      <w:r w:rsidRPr="00862874">
        <w:rPr>
          <w:rFonts w:hint="eastAsia"/>
        </w:rPr>
        <w:t>本講習不提供杯具，請自行攜帶。</w:t>
      </w:r>
    </w:p>
    <w:p w:rsidR="001B646D" w:rsidRPr="00862874" w:rsidRDefault="001B646D" w:rsidP="001B646D">
      <w:pPr>
        <w:pStyle w:val="a3"/>
        <w:numPr>
          <w:ilvl w:val="0"/>
          <w:numId w:val="4"/>
        </w:numPr>
        <w:spacing w:line="360" w:lineRule="auto"/>
        <w:ind w:leftChars="0"/>
        <w:rPr>
          <w:kern w:val="0"/>
        </w:rPr>
      </w:pPr>
      <w:r w:rsidRPr="00862874">
        <w:rPr>
          <w:rFonts w:ascii="新細明體" w:hAnsi="新細明體" w:hint="eastAsia"/>
        </w:rPr>
        <w:t>本實務講習不提供住宿及免費停車位，如開車者請自行處理。</w:t>
      </w:r>
    </w:p>
    <w:p w:rsidR="001B646D" w:rsidRPr="00862874" w:rsidRDefault="001B646D" w:rsidP="001B646D">
      <w:pPr>
        <w:pStyle w:val="a3"/>
        <w:numPr>
          <w:ilvl w:val="0"/>
          <w:numId w:val="4"/>
        </w:numPr>
        <w:spacing w:line="360" w:lineRule="auto"/>
        <w:ind w:leftChars="0"/>
        <w:rPr>
          <w:kern w:val="0"/>
        </w:rPr>
      </w:pPr>
      <w:r w:rsidRPr="00862874">
        <w:rPr>
          <w:rFonts w:ascii="新細明體" w:hAnsi="新細明體" w:hint="eastAsia"/>
        </w:rPr>
        <w:t>主辦單位保留活動異動之權利，請以網站公告為</w:t>
      </w:r>
      <w:proofErr w:type="gramStart"/>
      <w:r w:rsidRPr="00862874">
        <w:rPr>
          <w:rFonts w:ascii="新細明體" w:hAnsi="新細明體" w:hint="eastAsia"/>
        </w:rPr>
        <w:t>準</w:t>
      </w:r>
      <w:proofErr w:type="gramEnd"/>
      <w:r w:rsidRPr="00862874">
        <w:rPr>
          <w:rFonts w:ascii="新細明體" w:hAnsi="新細明體" w:hint="eastAsia"/>
        </w:rPr>
        <w:t>。</w:t>
      </w:r>
    </w:p>
    <w:p w:rsidR="00A946D8" w:rsidRPr="00862874" w:rsidRDefault="00A946D8"/>
    <w:sectPr w:rsidR="00A946D8" w:rsidRPr="00862874" w:rsidSect="005F21C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7DB" w:rsidRDefault="006137DB" w:rsidP="001B646D">
      <w:r>
        <w:separator/>
      </w:r>
    </w:p>
  </w:endnote>
  <w:endnote w:type="continuationSeparator" w:id="0">
    <w:p w:rsidR="006137DB" w:rsidRDefault="006137DB" w:rsidP="001B6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7DB" w:rsidRDefault="006137DB" w:rsidP="001B646D">
      <w:r>
        <w:separator/>
      </w:r>
    </w:p>
  </w:footnote>
  <w:footnote w:type="continuationSeparator" w:id="0">
    <w:p w:rsidR="006137DB" w:rsidRDefault="006137DB" w:rsidP="001B6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1C5B"/>
    <w:multiLevelType w:val="hybridMultilevel"/>
    <w:tmpl w:val="7172BF86"/>
    <w:lvl w:ilvl="0" w:tplc="210C3C82">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
    <w:nsid w:val="2D0D78BD"/>
    <w:multiLevelType w:val="multilevel"/>
    <w:tmpl w:val="65B8A376"/>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nsid w:val="73B421FB"/>
    <w:multiLevelType w:val="hybridMultilevel"/>
    <w:tmpl w:val="7172BF86"/>
    <w:lvl w:ilvl="0" w:tplc="210C3C82">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nsid w:val="7FD85305"/>
    <w:multiLevelType w:val="hybridMultilevel"/>
    <w:tmpl w:val="B23AD5FC"/>
    <w:lvl w:ilvl="0" w:tplc="B2C8172A">
      <w:start w:val="1"/>
      <w:numFmt w:val="taiwaneseCountingThousand"/>
      <w:lvlText w:val="%1、"/>
      <w:lvlJc w:val="left"/>
      <w:pPr>
        <w:ind w:left="-86" w:hanging="480"/>
      </w:pPr>
      <w:rPr>
        <w:b/>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6D8"/>
    <w:rsid w:val="001B646D"/>
    <w:rsid w:val="0039593E"/>
    <w:rsid w:val="003A18A6"/>
    <w:rsid w:val="005404DB"/>
    <w:rsid w:val="00596CF1"/>
    <w:rsid w:val="005F21C3"/>
    <w:rsid w:val="00602593"/>
    <w:rsid w:val="006137DB"/>
    <w:rsid w:val="006554FD"/>
    <w:rsid w:val="006B0293"/>
    <w:rsid w:val="006F6F0B"/>
    <w:rsid w:val="007E2D80"/>
    <w:rsid w:val="00851591"/>
    <w:rsid w:val="00862874"/>
    <w:rsid w:val="008C05CD"/>
    <w:rsid w:val="00A946D8"/>
    <w:rsid w:val="00AC0815"/>
    <w:rsid w:val="00AF1161"/>
    <w:rsid w:val="00C73D82"/>
    <w:rsid w:val="00DD5231"/>
    <w:rsid w:val="00DE3BEA"/>
    <w:rsid w:val="00E6617C"/>
    <w:rsid w:val="00F77F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6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6D8"/>
    <w:pPr>
      <w:ind w:leftChars="200" w:left="480"/>
    </w:pPr>
    <w:rPr>
      <w:rFonts w:ascii="Times New Roman" w:eastAsia="新細明體" w:hAnsi="Times New Roman" w:cs="Times New Roman"/>
    </w:rPr>
  </w:style>
  <w:style w:type="paragraph" w:styleId="a4">
    <w:name w:val="header"/>
    <w:basedOn w:val="a"/>
    <w:link w:val="a5"/>
    <w:uiPriority w:val="99"/>
    <w:semiHidden/>
    <w:unhideWhenUsed/>
    <w:rsid w:val="001B646D"/>
    <w:pPr>
      <w:tabs>
        <w:tab w:val="center" w:pos="4153"/>
        <w:tab w:val="right" w:pos="8306"/>
      </w:tabs>
      <w:snapToGrid w:val="0"/>
    </w:pPr>
    <w:rPr>
      <w:sz w:val="20"/>
      <w:szCs w:val="20"/>
    </w:rPr>
  </w:style>
  <w:style w:type="character" w:customStyle="1" w:styleId="a5">
    <w:name w:val="頁首 字元"/>
    <w:basedOn w:val="a0"/>
    <w:link w:val="a4"/>
    <w:uiPriority w:val="99"/>
    <w:semiHidden/>
    <w:rsid w:val="001B646D"/>
    <w:rPr>
      <w:sz w:val="20"/>
      <w:szCs w:val="20"/>
    </w:rPr>
  </w:style>
  <w:style w:type="paragraph" w:styleId="a6">
    <w:name w:val="footer"/>
    <w:basedOn w:val="a"/>
    <w:link w:val="a7"/>
    <w:uiPriority w:val="99"/>
    <w:semiHidden/>
    <w:unhideWhenUsed/>
    <w:rsid w:val="001B646D"/>
    <w:pPr>
      <w:tabs>
        <w:tab w:val="center" w:pos="4153"/>
        <w:tab w:val="right" w:pos="8306"/>
      </w:tabs>
      <w:snapToGrid w:val="0"/>
    </w:pPr>
    <w:rPr>
      <w:sz w:val="20"/>
      <w:szCs w:val="20"/>
    </w:rPr>
  </w:style>
  <w:style w:type="character" w:customStyle="1" w:styleId="a7">
    <w:name w:val="頁尾 字元"/>
    <w:basedOn w:val="a0"/>
    <w:link w:val="a6"/>
    <w:uiPriority w:val="99"/>
    <w:semiHidden/>
    <w:rsid w:val="001B646D"/>
    <w:rPr>
      <w:sz w:val="20"/>
      <w:szCs w:val="20"/>
    </w:rPr>
  </w:style>
  <w:style w:type="paragraph" w:styleId="a8">
    <w:name w:val="Balloon Text"/>
    <w:basedOn w:val="a"/>
    <w:link w:val="a9"/>
    <w:uiPriority w:val="99"/>
    <w:semiHidden/>
    <w:unhideWhenUsed/>
    <w:rsid w:val="008C05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C05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6D8"/>
    <w:pPr>
      <w:ind w:leftChars="200" w:left="480"/>
    </w:pPr>
    <w:rPr>
      <w:rFonts w:ascii="Times New Roman" w:eastAsia="新細明體" w:hAnsi="Times New Roman" w:cs="Times New Roman"/>
    </w:rPr>
  </w:style>
  <w:style w:type="paragraph" w:styleId="a4">
    <w:name w:val="header"/>
    <w:basedOn w:val="a"/>
    <w:link w:val="Char"/>
    <w:uiPriority w:val="99"/>
    <w:semiHidden/>
    <w:unhideWhenUsed/>
    <w:rsid w:val="001B646D"/>
    <w:pPr>
      <w:tabs>
        <w:tab w:val="center" w:pos="4153"/>
        <w:tab w:val="right" w:pos="8306"/>
      </w:tabs>
      <w:snapToGrid w:val="0"/>
    </w:pPr>
    <w:rPr>
      <w:sz w:val="20"/>
      <w:szCs w:val="20"/>
    </w:rPr>
  </w:style>
  <w:style w:type="character" w:customStyle="1" w:styleId="Char">
    <w:name w:val="頁首 Char"/>
    <w:basedOn w:val="a0"/>
    <w:link w:val="a4"/>
    <w:uiPriority w:val="99"/>
    <w:semiHidden/>
    <w:rsid w:val="001B646D"/>
    <w:rPr>
      <w:sz w:val="20"/>
      <w:szCs w:val="20"/>
    </w:rPr>
  </w:style>
  <w:style w:type="paragraph" w:styleId="a5">
    <w:name w:val="footer"/>
    <w:basedOn w:val="a"/>
    <w:link w:val="Char0"/>
    <w:uiPriority w:val="99"/>
    <w:semiHidden/>
    <w:unhideWhenUsed/>
    <w:rsid w:val="001B646D"/>
    <w:pPr>
      <w:tabs>
        <w:tab w:val="center" w:pos="4153"/>
        <w:tab w:val="right" w:pos="8306"/>
      </w:tabs>
      <w:snapToGrid w:val="0"/>
    </w:pPr>
    <w:rPr>
      <w:sz w:val="20"/>
      <w:szCs w:val="20"/>
    </w:rPr>
  </w:style>
  <w:style w:type="character" w:customStyle="1" w:styleId="Char0">
    <w:name w:val="頁尾 Char"/>
    <w:basedOn w:val="a0"/>
    <w:link w:val="a5"/>
    <w:uiPriority w:val="99"/>
    <w:semiHidden/>
    <w:rsid w:val="001B646D"/>
    <w:rPr>
      <w:sz w:val="20"/>
      <w:szCs w:val="20"/>
    </w:rPr>
  </w:style>
  <w:style w:type="paragraph" w:styleId="a6">
    <w:name w:val="Balloon Text"/>
    <w:basedOn w:val="a"/>
    <w:link w:val="Char1"/>
    <w:uiPriority w:val="99"/>
    <w:semiHidden/>
    <w:unhideWhenUsed/>
    <w:rsid w:val="008C05CD"/>
    <w:rPr>
      <w:rFonts w:asciiTheme="majorHAnsi" w:eastAsiaTheme="majorEastAsia" w:hAnsiTheme="majorHAnsi" w:cstheme="majorBidi"/>
      <w:sz w:val="18"/>
      <w:szCs w:val="18"/>
    </w:rPr>
  </w:style>
  <w:style w:type="character" w:customStyle="1" w:styleId="Char1">
    <w:name w:val="註解方塊文字 Char"/>
    <w:basedOn w:val="a0"/>
    <w:link w:val="a6"/>
    <w:uiPriority w:val="99"/>
    <w:semiHidden/>
    <w:rsid w:val="008C05C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hsinju</dc:creator>
  <cp:lastModifiedBy>user</cp:lastModifiedBy>
  <cp:revision>2</cp:revision>
  <cp:lastPrinted>2015-06-03T01:17:00Z</cp:lastPrinted>
  <dcterms:created xsi:type="dcterms:W3CDTF">2015-06-11T00:36:00Z</dcterms:created>
  <dcterms:modified xsi:type="dcterms:W3CDTF">2015-06-11T00:36:00Z</dcterms:modified>
</cp:coreProperties>
</file>